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CDC399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42AFA">
        <w:t xml:space="preserve"> – September 2021</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42AFA" w:rsidRDefault="009D71E8">
            <w:pPr>
              <w:pStyle w:val="TableRow"/>
              <w:rPr>
                <w:sz w:val="20"/>
                <w:szCs w:val="20"/>
              </w:rPr>
            </w:pPr>
            <w:r w:rsidRPr="00242AFA">
              <w:rPr>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5EA22CC" w:rsidR="00E66558" w:rsidRPr="00242AFA" w:rsidRDefault="001265D4">
            <w:pPr>
              <w:pStyle w:val="TableRow"/>
              <w:rPr>
                <w:sz w:val="20"/>
                <w:szCs w:val="20"/>
              </w:rPr>
            </w:pPr>
            <w:r w:rsidRPr="00242AFA">
              <w:rPr>
                <w:sz w:val="20"/>
                <w:szCs w:val="20"/>
              </w:rPr>
              <w:t>R</w:t>
            </w:r>
            <w:r w:rsidR="00905FA1" w:rsidRPr="00242AFA">
              <w:rPr>
                <w:sz w:val="20"/>
                <w:szCs w:val="20"/>
              </w:rPr>
              <w:t>G</w:t>
            </w:r>
            <w:r w:rsidRPr="00242AFA">
              <w:rPr>
                <w:sz w:val="20"/>
                <w:szCs w:val="20"/>
              </w:rPr>
              <w:t>PS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242AFA" w:rsidRDefault="009D71E8">
            <w:pPr>
              <w:pStyle w:val="TableRow"/>
              <w:rPr>
                <w:sz w:val="20"/>
                <w:szCs w:val="20"/>
              </w:rPr>
            </w:pPr>
            <w:r w:rsidRPr="00242AFA">
              <w:rPr>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381CF4" w:rsidR="00E66558" w:rsidRPr="00242AFA" w:rsidRDefault="001265D4">
            <w:pPr>
              <w:pStyle w:val="TableRow"/>
              <w:rPr>
                <w:sz w:val="20"/>
                <w:szCs w:val="20"/>
              </w:rPr>
            </w:pPr>
            <w:r w:rsidRPr="00242AFA">
              <w:rPr>
                <w:sz w:val="20"/>
                <w:szCs w:val="20"/>
              </w:rPr>
              <w:t>8</w:t>
            </w:r>
            <w:r w:rsidR="00024AE5" w:rsidRPr="00242AFA">
              <w:rPr>
                <w:sz w:val="20"/>
                <w:szCs w:val="20"/>
              </w:rPr>
              <w:t>46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242AFA" w:rsidRDefault="009D71E8">
            <w:pPr>
              <w:pStyle w:val="TableRow"/>
              <w:rPr>
                <w:sz w:val="20"/>
                <w:szCs w:val="20"/>
              </w:rPr>
            </w:pPr>
            <w:r w:rsidRPr="00242AFA">
              <w:rPr>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359F47C" w:rsidR="00E66558" w:rsidRPr="00242AFA" w:rsidRDefault="00024AE5">
            <w:pPr>
              <w:pStyle w:val="TableRow"/>
              <w:rPr>
                <w:sz w:val="20"/>
                <w:szCs w:val="20"/>
              </w:rPr>
            </w:pPr>
            <w:r w:rsidRPr="00242AFA">
              <w:rPr>
                <w:sz w:val="20"/>
                <w:szCs w:val="20"/>
              </w:rPr>
              <w:t xml:space="preserve">25%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B1D9638" w:rsidR="00E66558" w:rsidRPr="00242AFA" w:rsidRDefault="009D71E8">
            <w:pPr>
              <w:pStyle w:val="TableRow"/>
              <w:rPr>
                <w:sz w:val="20"/>
                <w:szCs w:val="20"/>
              </w:rPr>
            </w:pPr>
            <w:bookmarkStart w:id="14" w:name="_GoBack"/>
            <w:r w:rsidRPr="00242AFA">
              <w:rPr>
                <w:sz w:val="20"/>
                <w:szCs w:val="20"/>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270D" w14:textId="77777777" w:rsidR="005725A3" w:rsidRPr="00242AFA" w:rsidRDefault="00024AE5">
            <w:pPr>
              <w:pStyle w:val="TableRow"/>
              <w:rPr>
                <w:sz w:val="20"/>
                <w:szCs w:val="20"/>
              </w:rPr>
            </w:pPr>
            <w:r w:rsidRPr="00242AFA">
              <w:rPr>
                <w:sz w:val="20"/>
                <w:szCs w:val="20"/>
              </w:rPr>
              <w:t>1</w:t>
            </w:r>
            <w:r w:rsidR="00905FA1" w:rsidRPr="00242AFA">
              <w:rPr>
                <w:sz w:val="20"/>
                <w:szCs w:val="20"/>
              </w:rPr>
              <w:t xml:space="preserve"> year. </w:t>
            </w:r>
          </w:p>
          <w:p w14:paraId="2A7D54C2" w14:textId="43825C81" w:rsidR="00E66558" w:rsidRPr="00242AFA" w:rsidRDefault="00905FA1">
            <w:pPr>
              <w:pStyle w:val="TableRow"/>
              <w:rPr>
                <w:sz w:val="20"/>
                <w:szCs w:val="20"/>
              </w:rPr>
            </w:pPr>
            <w:r w:rsidRPr="00242AFA">
              <w:rPr>
                <w:sz w:val="20"/>
                <w:szCs w:val="20"/>
              </w:rPr>
              <w:t xml:space="preserve">We prefer to build in the flexibility to adapt, as required from year to year. </w:t>
            </w:r>
            <w:r w:rsidR="005725A3" w:rsidRPr="00242AFA">
              <w:rPr>
                <w:sz w:val="20"/>
                <w:szCs w:val="20"/>
              </w:rPr>
              <w:t>This works for us.</w:t>
            </w:r>
            <w:r w:rsidR="002B1148" w:rsidRPr="00242AFA">
              <w:rPr>
                <w:sz w:val="20"/>
                <w:szCs w:val="20"/>
              </w:rPr>
              <w:t xml:space="preserve"> </w:t>
            </w:r>
            <w:r w:rsidR="004C753F" w:rsidRPr="00242AFA">
              <w:rPr>
                <w:sz w:val="20"/>
                <w:szCs w:val="20"/>
              </w:rPr>
              <w:t xml:space="preserve">The DfE funding changes from year to year and the timing of information release is poor (for example this year’s funding figures). </w:t>
            </w:r>
            <w:r w:rsidRPr="00242AFA">
              <w:rPr>
                <w:sz w:val="20"/>
                <w:szCs w:val="20"/>
              </w:rPr>
              <w:t xml:space="preserve">Trends </w:t>
            </w:r>
            <w:r w:rsidR="005725A3" w:rsidRPr="00242AFA">
              <w:rPr>
                <w:sz w:val="20"/>
                <w:szCs w:val="20"/>
              </w:rPr>
              <w:t xml:space="preserve">for RGPS </w:t>
            </w:r>
            <w:r w:rsidRPr="00242AFA">
              <w:rPr>
                <w:sz w:val="20"/>
                <w:szCs w:val="20"/>
              </w:rPr>
              <w:t xml:space="preserve">over time show that pupils from </w:t>
            </w:r>
            <w:r w:rsidR="005725A3" w:rsidRPr="00242AFA">
              <w:rPr>
                <w:sz w:val="20"/>
                <w:szCs w:val="20"/>
              </w:rPr>
              <w:t xml:space="preserve">all groups, (including the </w:t>
            </w:r>
            <w:r w:rsidRPr="00242AFA">
              <w:rPr>
                <w:sz w:val="20"/>
                <w:szCs w:val="20"/>
              </w:rPr>
              <w:t>disadvantaged</w:t>
            </w:r>
            <w:r w:rsidR="005725A3" w:rsidRPr="00242AFA">
              <w:rPr>
                <w:sz w:val="20"/>
                <w:szCs w:val="20"/>
              </w:rPr>
              <w:t>)</w:t>
            </w:r>
            <w:r w:rsidRPr="00242AFA">
              <w:rPr>
                <w:sz w:val="20"/>
                <w:szCs w:val="20"/>
              </w:rPr>
              <w:t xml:space="preserve"> almost always make significantly better progress </w:t>
            </w:r>
            <w:r w:rsidR="005725A3" w:rsidRPr="00242AFA">
              <w:rPr>
                <w:sz w:val="20"/>
                <w:szCs w:val="20"/>
              </w:rPr>
              <w:t xml:space="preserve">and attain higher </w:t>
            </w:r>
            <w:r w:rsidRPr="00242AFA">
              <w:rPr>
                <w:sz w:val="20"/>
                <w:szCs w:val="20"/>
              </w:rPr>
              <w:t xml:space="preserve">than </w:t>
            </w:r>
            <w:r w:rsidR="005725A3" w:rsidRPr="00242AFA">
              <w:rPr>
                <w:sz w:val="20"/>
                <w:szCs w:val="20"/>
              </w:rPr>
              <w:t xml:space="preserve">the national average. </w:t>
            </w:r>
          </w:p>
        </w:tc>
      </w:tr>
      <w:bookmarkEnd w:id="14"/>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42AFA" w:rsidRDefault="009D71E8">
            <w:pPr>
              <w:pStyle w:val="TableRow"/>
              <w:rPr>
                <w:sz w:val="20"/>
                <w:szCs w:val="20"/>
              </w:rPr>
            </w:pPr>
            <w:r w:rsidRPr="00242AFA">
              <w:rPr>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43F364" w:rsidR="00E66558" w:rsidRPr="00242AFA" w:rsidRDefault="00024AE5">
            <w:pPr>
              <w:pStyle w:val="TableRow"/>
              <w:rPr>
                <w:sz w:val="20"/>
                <w:szCs w:val="20"/>
              </w:rPr>
            </w:pPr>
            <w:r w:rsidRPr="00242AFA">
              <w:rPr>
                <w:sz w:val="20"/>
                <w:szCs w:val="20"/>
              </w:rPr>
              <w:t>10</w:t>
            </w:r>
            <w:r w:rsidRPr="00242AFA">
              <w:rPr>
                <w:sz w:val="20"/>
                <w:szCs w:val="20"/>
                <w:vertAlign w:val="superscript"/>
              </w:rPr>
              <w:t>th</w:t>
            </w:r>
            <w:r w:rsidRPr="00242AFA">
              <w:rPr>
                <w:sz w:val="20"/>
                <w:szCs w:val="20"/>
              </w:rP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42AFA" w:rsidRDefault="009D71E8">
            <w:pPr>
              <w:pStyle w:val="TableRow"/>
              <w:rPr>
                <w:sz w:val="20"/>
                <w:szCs w:val="20"/>
              </w:rPr>
            </w:pPr>
            <w:r w:rsidRPr="00242AFA">
              <w:rPr>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3F9F53" w:rsidR="00E66558" w:rsidRPr="00242AFA" w:rsidRDefault="00024AE5">
            <w:pPr>
              <w:pStyle w:val="TableRow"/>
              <w:rPr>
                <w:sz w:val="20"/>
                <w:szCs w:val="20"/>
              </w:rPr>
            </w:pPr>
            <w:r w:rsidRPr="00242AFA">
              <w:rPr>
                <w:sz w:val="20"/>
                <w:szCs w:val="20"/>
              </w:rPr>
              <w:t>September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42AFA" w:rsidRDefault="009D71E8">
            <w:pPr>
              <w:pStyle w:val="TableRow"/>
              <w:rPr>
                <w:sz w:val="20"/>
                <w:szCs w:val="20"/>
              </w:rPr>
            </w:pPr>
            <w:r w:rsidRPr="00242AFA">
              <w:rPr>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8A5F6A9" w:rsidR="00E66558" w:rsidRPr="00242AFA" w:rsidRDefault="00024AE5">
            <w:pPr>
              <w:pStyle w:val="TableRow"/>
              <w:rPr>
                <w:sz w:val="20"/>
                <w:szCs w:val="20"/>
              </w:rPr>
            </w:pPr>
            <w:r w:rsidRPr="00242AFA">
              <w:rPr>
                <w:sz w:val="20"/>
                <w:szCs w:val="20"/>
              </w:rPr>
              <w:t xml:space="preserve">RGPS Governing Body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42AFA" w:rsidRDefault="009D71E8">
            <w:pPr>
              <w:pStyle w:val="TableRow"/>
              <w:rPr>
                <w:sz w:val="20"/>
                <w:szCs w:val="20"/>
              </w:rPr>
            </w:pPr>
            <w:r w:rsidRPr="00242AFA">
              <w:rPr>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63A56B9" w:rsidR="00E66558" w:rsidRPr="00242AFA" w:rsidRDefault="00024AE5">
            <w:pPr>
              <w:pStyle w:val="TableRow"/>
              <w:rPr>
                <w:sz w:val="20"/>
                <w:szCs w:val="20"/>
              </w:rPr>
            </w:pPr>
            <w:r w:rsidRPr="00242AFA">
              <w:rPr>
                <w:sz w:val="20"/>
                <w:szCs w:val="20"/>
              </w:rPr>
              <w:t xml:space="preserve">S </w:t>
            </w:r>
            <w:proofErr w:type="spellStart"/>
            <w:r w:rsidRPr="00242AFA">
              <w:rPr>
                <w:sz w:val="20"/>
                <w:szCs w:val="20"/>
              </w:rPr>
              <w:t>Abeledo</w:t>
            </w:r>
            <w:proofErr w:type="spellEnd"/>
            <w:r w:rsidRPr="00242AFA">
              <w:rPr>
                <w:sz w:val="20"/>
                <w:szCs w:val="20"/>
              </w:rPr>
              <w:t xml:space="preserve">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42AFA" w:rsidRDefault="009D71E8">
            <w:pPr>
              <w:pStyle w:val="TableRow"/>
              <w:rPr>
                <w:sz w:val="20"/>
                <w:szCs w:val="20"/>
              </w:rPr>
            </w:pPr>
            <w:r w:rsidRPr="00242AFA">
              <w:rPr>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B071E0E" w:rsidR="00E66558" w:rsidRPr="00242AFA" w:rsidRDefault="00024AE5">
            <w:pPr>
              <w:pStyle w:val="TableRow"/>
              <w:rPr>
                <w:sz w:val="20"/>
                <w:szCs w:val="20"/>
              </w:rPr>
            </w:pPr>
            <w:r w:rsidRPr="00242AFA">
              <w:rPr>
                <w:sz w:val="20"/>
                <w:szCs w:val="20"/>
              </w:rPr>
              <w:t xml:space="preserve">J Buckle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3316B8" w:rsidR="00E66558" w:rsidRDefault="009D71E8">
            <w:pPr>
              <w:pStyle w:val="TableRow"/>
            </w:pPr>
            <w:r>
              <w:t>£</w:t>
            </w:r>
            <w:r w:rsidR="00905FA1">
              <w:t>209,605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BE1EB53" w:rsidR="00E66558" w:rsidRDefault="009D71E8">
            <w:pPr>
              <w:pStyle w:val="TableRow"/>
            </w:pPr>
            <w:r>
              <w:t>£</w:t>
            </w:r>
            <w:r w:rsidR="00905FA1">
              <w:t>22,185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DFB5BC5" w:rsidR="00E66558" w:rsidRDefault="009D71E8">
            <w:pPr>
              <w:pStyle w:val="TableRow"/>
            </w:pPr>
            <w:r>
              <w:t>£</w:t>
            </w:r>
            <w:r w:rsidR="00905FA1">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7B97" w14:textId="08366847" w:rsidR="000239D4" w:rsidRDefault="000239D4" w:rsidP="000239D4">
            <w:pPr>
              <w:rPr>
                <w:rFonts w:ascii="Calibri" w:hAnsi="Calibri" w:cs="Tahoma"/>
                <w:b/>
              </w:rPr>
            </w:pPr>
            <w:r w:rsidRPr="00314F76">
              <w:rPr>
                <w:rFonts w:ascii="Calibri" w:hAnsi="Calibri" w:cs="Tahoma"/>
                <w:b/>
              </w:rPr>
              <w:t>At Rush Green Primary School</w:t>
            </w:r>
            <w:r w:rsidR="00015B49">
              <w:rPr>
                <w:rFonts w:ascii="Calibri" w:hAnsi="Calibri" w:cs="Tahoma"/>
                <w:b/>
              </w:rPr>
              <w:t>,</w:t>
            </w:r>
            <w:r w:rsidRPr="00314F76">
              <w:rPr>
                <w:rFonts w:ascii="Calibri" w:hAnsi="Calibri" w:cs="Tahoma"/>
                <w:b/>
              </w:rPr>
              <w:t xml:space="preserve"> the most difficult barriers to overcome are:</w:t>
            </w:r>
          </w:p>
          <w:p w14:paraId="155333AB" w14:textId="39E8BB10" w:rsidR="000239D4" w:rsidRPr="007357AE" w:rsidRDefault="007357AE" w:rsidP="000239D4">
            <w:pPr>
              <w:pStyle w:val="ListParagraph"/>
              <w:numPr>
                <w:ilvl w:val="0"/>
                <w:numId w:val="14"/>
              </w:numPr>
              <w:suppressAutoHyphens w:val="0"/>
              <w:autoSpaceDN/>
              <w:spacing w:after="0" w:line="240" w:lineRule="auto"/>
              <w:rPr>
                <w:rFonts w:ascii="Calibri" w:hAnsi="Calibri" w:cs="Tahoma"/>
              </w:rPr>
            </w:pPr>
            <w:r w:rsidRPr="007357AE">
              <w:rPr>
                <w:rFonts w:ascii="Calibri" w:hAnsi="Calibri" w:cs="Tahoma"/>
              </w:rPr>
              <w:t>P</w:t>
            </w:r>
            <w:r w:rsidR="000239D4" w:rsidRPr="007357AE">
              <w:rPr>
                <w:rFonts w:ascii="Calibri" w:hAnsi="Calibri" w:cs="Tahoma"/>
              </w:rPr>
              <w:t xml:space="preserve">upils are </w:t>
            </w:r>
            <w:r w:rsidRPr="007357AE">
              <w:rPr>
                <w:rFonts w:ascii="Calibri" w:hAnsi="Calibri" w:cs="Tahoma"/>
              </w:rPr>
              <w:t xml:space="preserve">generally </w:t>
            </w:r>
            <w:r w:rsidR="000239D4" w:rsidRPr="007357AE">
              <w:rPr>
                <w:rFonts w:ascii="Calibri" w:hAnsi="Calibri" w:cs="Tahoma"/>
              </w:rPr>
              <w:t>below age-related expectations on entry into the Early Years Foundation Stage (EYFS)</w:t>
            </w:r>
          </w:p>
          <w:p w14:paraId="41BDB297" w14:textId="43E8B4E5" w:rsidR="000239D4" w:rsidRPr="007357AE" w:rsidRDefault="000239D4" w:rsidP="000239D4">
            <w:pPr>
              <w:pStyle w:val="ListParagraph"/>
              <w:numPr>
                <w:ilvl w:val="0"/>
                <w:numId w:val="14"/>
              </w:numPr>
              <w:suppressAutoHyphens w:val="0"/>
              <w:autoSpaceDN/>
              <w:spacing w:after="0" w:line="240" w:lineRule="auto"/>
              <w:rPr>
                <w:rFonts w:ascii="Calibri" w:hAnsi="Calibri" w:cs="Tahoma"/>
              </w:rPr>
            </w:pPr>
            <w:r w:rsidRPr="007357AE">
              <w:rPr>
                <w:rFonts w:ascii="Calibri" w:hAnsi="Calibri" w:cs="Tahoma"/>
              </w:rPr>
              <w:t xml:space="preserve">In September 2020, because the COVID19 lockdown resulted in local nurseries closing and schools being closed for significant periods of time, children on entry in to the EYFS are well below age-related expectations </w:t>
            </w:r>
            <w:r w:rsidR="007357AE" w:rsidRPr="007357AE">
              <w:rPr>
                <w:rFonts w:ascii="Calibri" w:hAnsi="Calibri" w:cs="Tahoma"/>
              </w:rPr>
              <w:t>and there is significant high need in our Early Years</w:t>
            </w:r>
          </w:p>
          <w:p w14:paraId="25792F1D" w14:textId="777777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 xml:space="preserve">Children starting Year 1 in September 2020, will have missed almost 6 months of learning and are significantly behind in PSED and in phonics development </w:t>
            </w:r>
          </w:p>
          <w:p w14:paraId="3511205C" w14:textId="590F2A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Children starting Years’ 2, 3 and 4 in September 202</w:t>
            </w:r>
            <w:r w:rsidR="007357AE" w:rsidRPr="007357AE">
              <w:rPr>
                <w:rFonts w:ascii="Calibri" w:hAnsi="Calibri" w:cs="Tahoma"/>
              </w:rPr>
              <w:t>1</w:t>
            </w:r>
            <w:r w:rsidRPr="007357AE">
              <w:rPr>
                <w:rFonts w:ascii="Calibri" w:hAnsi="Calibri" w:cs="Tahoma"/>
              </w:rPr>
              <w:t>, who were already behind in their phonics skills</w:t>
            </w:r>
            <w:r w:rsidR="007357AE" w:rsidRPr="007357AE">
              <w:rPr>
                <w:rFonts w:ascii="Calibri" w:hAnsi="Calibri" w:cs="Tahoma"/>
              </w:rPr>
              <w:t xml:space="preserve"> from the previous year</w:t>
            </w:r>
            <w:r w:rsidRPr="007357AE">
              <w:rPr>
                <w:rFonts w:ascii="Calibri" w:hAnsi="Calibri" w:cs="Tahoma"/>
              </w:rPr>
              <w:t xml:space="preserve">, are now significantly behind in their learning </w:t>
            </w:r>
          </w:p>
          <w:p w14:paraId="6D13456E" w14:textId="0212D01D"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 xml:space="preserve">Children starting Year 5 and </w:t>
            </w:r>
            <w:r w:rsidR="007357AE" w:rsidRPr="007357AE">
              <w:rPr>
                <w:rFonts w:ascii="Calibri" w:hAnsi="Calibri" w:cs="Tahoma"/>
              </w:rPr>
              <w:t xml:space="preserve">Year </w:t>
            </w:r>
            <w:r w:rsidRPr="007357AE">
              <w:rPr>
                <w:rFonts w:ascii="Calibri" w:hAnsi="Calibri" w:cs="Tahoma"/>
              </w:rPr>
              <w:t>6 in September 202</w:t>
            </w:r>
            <w:r w:rsidR="007357AE" w:rsidRPr="007357AE">
              <w:rPr>
                <w:rFonts w:ascii="Calibri" w:hAnsi="Calibri" w:cs="Tahoma"/>
              </w:rPr>
              <w:t>1</w:t>
            </w:r>
            <w:r w:rsidRPr="007357AE">
              <w:rPr>
                <w:rFonts w:ascii="Calibri" w:hAnsi="Calibri" w:cs="Tahoma"/>
              </w:rPr>
              <w:t xml:space="preserve"> will have to make much accelerated progress to regain their previous trajectories because of time lost. Year 5 and particularly Year 6 have the least time to get back on track, prior to starting secondary settings</w:t>
            </w:r>
          </w:p>
          <w:p w14:paraId="2E93D263" w14:textId="777777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A small proportion of families did not engage with the school or the learning materials provided for children during lockdown</w:t>
            </w:r>
          </w:p>
          <w:p w14:paraId="47278595" w14:textId="11C67A2E"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 xml:space="preserve">Attendance of our vulnerable groups is lowest out of all key groups – particularly for persistent absence (historically, 2016/17 persistent absence </w:t>
            </w:r>
            <w:r w:rsidR="007357AE" w:rsidRPr="007357AE">
              <w:rPr>
                <w:rFonts w:ascii="Calibri" w:hAnsi="Calibri" w:cs="Tahoma"/>
              </w:rPr>
              <w:t xml:space="preserve">(PA) </w:t>
            </w:r>
            <w:r w:rsidRPr="007357AE">
              <w:rPr>
                <w:rFonts w:ascii="Calibri" w:hAnsi="Calibri" w:cs="Tahoma"/>
              </w:rPr>
              <w:t>rates were 3x the national figure)</w:t>
            </w:r>
            <w:r w:rsidR="007357AE" w:rsidRPr="007357AE">
              <w:rPr>
                <w:rFonts w:ascii="Calibri" w:hAnsi="Calibri" w:cs="Tahoma"/>
              </w:rPr>
              <w:t>. In October 2021, our PA was 18% (the national 2019 figure was 8%)</w:t>
            </w:r>
          </w:p>
          <w:p w14:paraId="523C826A" w14:textId="777777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180 pupils are listed as vulnerable</w:t>
            </w:r>
          </w:p>
          <w:p w14:paraId="7663FBD0" w14:textId="777777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66% of our vulnerable pupils have low prior attainment – often because of historically poor prior attendance</w:t>
            </w:r>
          </w:p>
          <w:p w14:paraId="74C05C8F" w14:textId="77777777" w:rsidR="000239D4" w:rsidRPr="007357AE" w:rsidRDefault="000239D4" w:rsidP="000239D4">
            <w:pPr>
              <w:numPr>
                <w:ilvl w:val="0"/>
                <w:numId w:val="14"/>
              </w:numPr>
              <w:suppressAutoHyphens w:val="0"/>
              <w:autoSpaceDN/>
              <w:spacing w:after="0" w:line="240" w:lineRule="auto"/>
              <w:rPr>
                <w:rFonts w:ascii="Calibri" w:hAnsi="Calibri" w:cs="Tahoma"/>
              </w:rPr>
            </w:pPr>
            <w:r w:rsidRPr="007357AE">
              <w:rPr>
                <w:rFonts w:ascii="Calibri" w:hAnsi="Calibri" w:cs="Tahoma"/>
              </w:rPr>
              <w:t>30% of our vulnerable pupils are on child protection or child in need plans and 50% of our vulnerable group are known to social services</w:t>
            </w:r>
          </w:p>
          <w:p w14:paraId="5E7BB028" w14:textId="59C5C7D6" w:rsidR="007357AE" w:rsidRPr="007357AE" w:rsidRDefault="000239D4" w:rsidP="007357AE">
            <w:pPr>
              <w:numPr>
                <w:ilvl w:val="0"/>
                <w:numId w:val="14"/>
              </w:numPr>
              <w:suppressAutoHyphens w:val="0"/>
              <w:autoSpaceDN/>
              <w:spacing w:after="0" w:line="240" w:lineRule="auto"/>
              <w:rPr>
                <w:rFonts w:ascii="Calibri" w:hAnsi="Calibri" w:cs="Tahoma"/>
              </w:rPr>
            </w:pPr>
            <w:r w:rsidRPr="007357AE">
              <w:rPr>
                <w:rFonts w:ascii="Calibri" w:hAnsi="Calibri" w:cs="Tahoma"/>
              </w:rPr>
              <w:t>20% of our vulnerable group are listed as having SEND and receive support. Almost all of this group have Speech and Language, ASD or SEMH concerns</w:t>
            </w:r>
          </w:p>
          <w:p w14:paraId="1F87B86C" w14:textId="77777777" w:rsidR="007357AE" w:rsidRPr="007357AE" w:rsidRDefault="007357AE" w:rsidP="007357AE">
            <w:pPr>
              <w:pStyle w:val="ListParagraph"/>
              <w:numPr>
                <w:ilvl w:val="0"/>
                <w:numId w:val="16"/>
              </w:numPr>
              <w:suppressAutoHyphens w:val="0"/>
              <w:autoSpaceDN/>
              <w:spacing w:after="0" w:line="240" w:lineRule="auto"/>
              <w:rPr>
                <w:rFonts w:asciiTheme="minorHAnsi" w:hAnsiTheme="minorHAnsi" w:cstheme="minorHAnsi"/>
                <w:color w:val="auto"/>
              </w:rPr>
            </w:pPr>
            <w:r w:rsidRPr="007357AE">
              <w:rPr>
                <w:rFonts w:asciiTheme="minorHAnsi" w:hAnsiTheme="minorHAnsi" w:cstheme="minorHAnsi"/>
                <w:color w:val="auto"/>
              </w:rPr>
              <w:t>A 2019 postcode analysis shows that some of our pupils live in deprivation. In fact, 50 of our children are classed as living in the worst deprived areas of the UK</w:t>
            </w:r>
          </w:p>
          <w:p w14:paraId="7DAD465A" w14:textId="77777777" w:rsidR="007357AE" w:rsidRPr="007357AE" w:rsidRDefault="007357AE" w:rsidP="007357AE">
            <w:pPr>
              <w:pStyle w:val="ListParagraph"/>
              <w:numPr>
                <w:ilvl w:val="0"/>
                <w:numId w:val="16"/>
              </w:numPr>
              <w:suppressAutoHyphens w:val="0"/>
              <w:autoSpaceDN/>
              <w:spacing w:after="0" w:line="240" w:lineRule="auto"/>
              <w:rPr>
                <w:rFonts w:asciiTheme="minorHAnsi" w:hAnsiTheme="minorHAnsi" w:cstheme="minorHAnsi"/>
                <w:color w:val="auto"/>
              </w:rPr>
            </w:pPr>
            <w:r w:rsidRPr="007357AE">
              <w:rPr>
                <w:rFonts w:asciiTheme="minorHAnsi" w:hAnsiTheme="minorHAnsi" w:cstheme="minorHAnsi"/>
                <w:color w:val="auto"/>
              </w:rPr>
              <w:t xml:space="preserve">Almost 20% of our school population live in the worst 20% deprived parts of the UK and 68% of our pupils (more than 2/3rds) live in the top 30% deprived areas in the UK   </w:t>
            </w:r>
          </w:p>
          <w:p w14:paraId="3360E8CA" w14:textId="77777777" w:rsidR="007357AE" w:rsidRPr="007357AE" w:rsidRDefault="007357AE" w:rsidP="007357AE">
            <w:pPr>
              <w:pStyle w:val="ListParagraph"/>
              <w:numPr>
                <w:ilvl w:val="0"/>
                <w:numId w:val="16"/>
              </w:numPr>
              <w:suppressAutoHyphens w:val="0"/>
              <w:autoSpaceDN/>
              <w:spacing w:after="0" w:line="240" w:lineRule="auto"/>
              <w:rPr>
                <w:rFonts w:asciiTheme="minorHAnsi" w:hAnsiTheme="minorHAnsi" w:cstheme="minorHAnsi"/>
                <w:color w:val="auto"/>
              </w:rPr>
            </w:pPr>
            <w:r w:rsidRPr="007357AE">
              <w:rPr>
                <w:rFonts w:asciiTheme="minorHAnsi" w:hAnsiTheme="minorHAnsi" w:cstheme="minorHAnsi"/>
                <w:color w:val="auto"/>
              </w:rPr>
              <w:t xml:space="preserve">Almost 20% (132) of our pupils live in households which are defined as being in the bottom third nationally for literacy and numeracy  </w:t>
            </w:r>
          </w:p>
          <w:p w14:paraId="27CF5A56" w14:textId="77777777" w:rsidR="007357AE" w:rsidRPr="007357AE" w:rsidRDefault="007357AE" w:rsidP="007357AE">
            <w:pPr>
              <w:pStyle w:val="ListParagraph"/>
              <w:numPr>
                <w:ilvl w:val="0"/>
                <w:numId w:val="16"/>
              </w:numPr>
              <w:suppressAutoHyphens w:val="0"/>
              <w:autoSpaceDN/>
              <w:spacing w:after="0" w:line="240" w:lineRule="auto"/>
              <w:rPr>
                <w:rFonts w:asciiTheme="minorHAnsi" w:hAnsiTheme="minorHAnsi" w:cstheme="minorHAnsi"/>
                <w:b/>
                <w:color w:val="auto"/>
              </w:rPr>
            </w:pPr>
            <w:r w:rsidRPr="007357AE">
              <w:rPr>
                <w:rFonts w:asciiTheme="minorHAnsi" w:hAnsiTheme="minorHAnsi" w:cstheme="minorHAnsi"/>
                <w:color w:val="auto"/>
              </w:rPr>
              <w:t>22% of our pupils live in areas with very high crime rates</w:t>
            </w:r>
            <w:r w:rsidRPr="007357AE">
              <w:rPr>
                <w:rFonts w:asciiTheme="minorHAnsi" w:hAnsiTheme="minorHAnsi" w:cstheme="minorHAnsi"/>
                <w:b/>
                <w:color w:val="auto"/>
              </w:rPr>
              <w:t xml:space="preserve"> </w:t>
            </w:r>
          </w:p>
          <w:p w14:paraId="4019886F" w14:textId="77777777" w:rsidR="007357AE" w:rsidRPr="007357AE" w:rsidRDefault="007357AE" w:rsidP="007357AE">
            <w:pPr>
              <w:pStyle w:val="ListParagraph"/>
              <w:numPr>
                <w:ilvl w:val="0"/>
                <w:numId w:val="16"/>
              </w:numPr>
              <w:suppressAutoHyphens w:val="0"/>
              <w:autoSpaceDN/>
              <w:spacing w:after="0" w:line="240" w:lineRule="auto"/>
              <w:rPr>
                <w:rFonts w:asciiTheme="minorHAnsi" w:hAnsiTheme="minorHAnsi" w:cstheme="minorHAnsi"/>
                <w:color w:val="auto"/>
              </w:rPr>
            </w:pPr>
            <w:r w:rsidRPr="007357AE">
              <w:rPr>
                <w:rFonts w:asciiTheme="minorHAnsi" w:hAnsiTheme="minorHAnsi" w:cstheme="minorHAnsi"/>
                <w:color w:val="auto"/>
              </w:rPr>
              <w:t>108 of our children live in areas with some of the highest crime rates in the country</w:t>
            </w:r>
          </w:p>
          <w:p w14:paraId="57D77FF6" w14:textId="06AC24B9" w:rsidR="000239D4" w:rsidRDefault="000239D4" w:rsidP="00015B49">
            <w:pPr>
              <w:suppressAutoHyphens w:val="0"/>
              <w:autoSpaceDN/>
              <w:spacing w:after="0" w:line="240" w:lineRule="auto"/>
              <w:ind w:left="644"/>
              <w:rPr>
                <w:rFonts w:ascii="Calibri" w:hAnsi="Calibri" w:cs="Tahoma"/>
                <w:b/>
              </w:rPr>
            </w:pPr>
          </w:p>
          <w:p w14:paraId="15097F30" w14:textId="28610DD6" w:rsidR="00517F6B" w:rsidRDefault="00517F6B" w:rsidP="00015B49">
            <w:pPr>
              <w:suppressAutoHyphens w:val="0"/>
              <w:autoSpaceDN/>
              <w:spacing w:after="0" w:line="240" w:lineRule="auto"/>
              <w:ind w:left="644"/>
              <w:rPr>
                <w:rFonts w:ascii="Calibri" w:hAnsi="Calibri" w:cs="Tahoma"/>
                <w:b/>
              </w:rPr>
            </w:pPr>
          </w:p>
          <w:p w14:paraId="2E5C8377" w14:textId="2E2C32F7" w:rsidR="00517F6B" w:rsidRDefault="00517F6B" w:rsidP="00015B49">
            <w:pPr>
              <w:suppressAutoHyphens w:val="0"/>
              <w:autoSpaceDN/>
              <w:spacing w:after="0" w:line="240" w:lineRule="auto"/>
              <w:ind w:left="644"/>
              <w:rPr>
                <w:rFonts w:ascii="Calibri" w:hAnsi="Calibri" w:cs="Tahoma"/>
                <w:b/>
              </w:rPr>
            </w:pPr>
          </w:p>
          <w:p w14:paraId="70ABF330" w14:textId="0F9D60E4" w:rsidR="00517F6B" w:rsidRDefault="00517F6B" w:rsidP="00015B49">
            <w:pPr>
              <w:suppressAutoHyphens w:val="0"/>
              <w:autoSpaceDN/>
              <w:spacing w:after="0" w:line="240" w:lineRule="auto"/>
              <w:ind w:left="644"/>
              <w:rPr>
                <w:rFonts w:ascii="Calibri" w:hAnsi="Calibri" w:cs="Tahoma"/>
                <w:b/>
              </w:rPr>
            </w:pPr>
          </w:p>
          <w:p w14:paraId="239AC666" w14:textId="03B9FA0B" w:rsidR="00517F6B" w:rsidRDefault="00517F6B" w:rsidP="00015B49">
            <w:pPr>
              <w:suppressAutoHyphens w:val="0"/>
              <w:autoSpaceDN/>
              <w:spacing w:after="0" w:line="240" w:lineRule="auto"/>
              <w:ind w:left="644"/>
              <w:rPr>
                <w:rFonts w:ascii="Calibri" w:hAnsi="Calibri" w:cs="Tahoma"/>
                <w:b/>
              </w:rPr>
            </w:pPr>
          </w:p>
          <w:p w14:paraId="10BA3A50" w14:textId="77777777" w:rsidR="00517F6B" w:rsidRPr="007357AE" w:rsidRDefault="00517F6B" w:rsidP="00015B49">
            <w:pPr>
              <w:suppressAutoHyphens w:val="0"/>
              <w:autoSpaceDN/>
              <w:spacing w:after="0" w:line="240" w:lineRule="auto"/>
              <w:ind w:left="644"/>
              <w:rPr>
                <w:rFonts w:ascii="Calibri" w:hAnsi="Calibri" w:cs="Tahoma"/>
                <w:b/>
              </w:rPr>
            </w:pPr>
          </w:p>
          <w:p w14:paraId="40144766" w14:textId="6D33D3D6" w:rsidR="00015B49" w:rsidRDefault="00015B49" w:rsidP="00015B49">
            <w:pPr>
              <w:rPr>
                <w:rFonts w:ascii="Calibri" w:hAnsi="Calibri" w:cs="Tahoma"/>
                <w:b/>
                <w:sz w:val="28"/>
                <w:szCs w:val="28"/>
                <w:u w:val="single"/>
              </w:rPr>
            </w:pPr>
            <w:r w:rsidRPr="00314F76">
              <w:rPr>
                <w:rFonts w:ascii="Calibri" w:hAnsi="Calibri" w:cs="Tahoma"/>
                <w:b/>
                <w:sz w:val="28"/>
                <w:szCs w:val="28"/>
                <w:u w:val="single"/>
              </w:rPr>
              <w:lastRenderedPageBreak/>
              <w:t xml:space="preserve">BARRIERS TO LEARNING </w:t>
            </w:r>
          </w:p>
          <w:p w14:paraId="18C6E80B" w14:textId="66CC20D4" w:rsidR="00015B49" w:rsidRPr="00015B49" w:rsidRDefault="00015B49" w:rsidP="00015B49">
            <w:pPr>
              <w:rPr>
                <w:color w:val="auto"/>
                <w:sz w:val="22"/>
                <w:szCs w:val="22"/>
              </w:rPr>
            </w:pPr>
            <w:r w:rsidRPr="00015B49">
              <w:rPr>
                <w:noProof/>
                <w:color w:val="auto"/>
                <w:sz w:val="22"/>
                <w:szCs w:val="22"/>
              </w:rPr>
              <w:drawing>
                <wp:anchor distT="0" distB="0" distL="114300" distR="114300" simplePos="0" relativeHeight="251660288" behindDoc="0" locked="0" layoutInCell="1" allowOverlap="1" wp14:anchorId="674364E5" wp14:editId="1F828BC5">
                  <wp:simplePos x="0" y="0"/>
                  <wp:positionH relativeFrom="column">
                    <wp:posOffset>3623386</wp:posOffset>
                  </wp:positionH>
                  <wp:positionV relativeFrom="paragraph">
                    <wp:posOffset>1419690</wp:posOffset>
                  </wp:positionV>
                  <wp:extent cx="2787650" cy="1858433"/>
                  <wp:effectExtent l="0" t="0" r="0"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01-7D6A73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7650" cy="1858433"/>
                          </a:xfrm>
                          <a:prstGeom prst="rect">
                            <a:avLst/>
                          </a:prstGeom>
                        </pic:spPr>
                      </pic:pic>
                    </a:graphicData>
                  </a:graphic>
                </wp:anchor>
              </w:drawing>
            </w:r>
            <w:r w:rsidRPr="00015B49">
              <w:rPr>
                <w:color w:val="auto"/>
                <w:sz w:val="22"/>
                <w:szCs w:val="22"/>
              </w:rPr>
              <w:t xml:space="preserve">The National Literacy Trust research report ‘Literacy and Life Expectancy’ (NLT 2018, Gilbert, </w:t>
            </w:r>
            <w:proofErr w:type="spellStart"/>
            <w:r w:rsidRPr="00015B49">
              <w:rPr>
                <w:color w:val="auto"/>
                <w:sz w:val="22"/>
                <w:szCs w:val="22"/>
              </w:rPr>
              <w:t>Teravainen</w:t>
            </w:r>
            <w:proofErr w:type="spellEnd"/>
            <w:r w:rsidRPr="00015B49">
              <w:rPr>
                <w:color w:val="auto"/>
                <w:sz w:val="22"/>
                <w:szCs w:val="22"/>
              </w:rPr>
              <w:t xml:space="preserve">, Clark and Shaw), demonstrates that </w:t>
            </w:r>
            <w:r w:rsidRPr="00015B49">
              <w:rPr>
                <w:b/>
                <w:color w:val="auto"/>
                <w:sz w:val="22"/>
                <w:szCs w:val="22"/>
              </w:rPr>
              <w:t>children growing up in wards with the greatest literacy challenges</w:t>
            </w:r>
            <w:r w:rsidRPr="00015B49">
              <w:rPr>
                <w:color w:val="auto"/>
                <w:sz w:val="22"/>
                <w:szCs w:val="22"/>
              </w:rPr>
              <w:t xml:space="preserve"> in the country </w:t>
            </w:r>
            <w:r w:rsidRPr="00015B49">
              <w:rPr>
                <w:b/>
                <w:color w:val="auto"/>
                <w:sz w:val="22"/>
                <w:szCs w:val="22"/>
              </w:rPr>
              <w:t>have significantly shorter life expectancies</w:t>
            </w:r>
            <w:r w:rsidRPr="00015B49">
              <w:rPr>
                <w:color w:val="auto"/>
                <w:sz w:val="22"/>
                <w:szCs w:val="22"/>
              </w:rPr>
              <w:t xml:space="preserve"> than those growing up in wards with fewer literacy challenges. </w:t>
            </w:r>
          </w:p>
          <w:p w14:paraId="77EDDA62" w14:textId="77777777" w:rsidR="00015B49" w:rsidRPr="00015B49" w:rsidRDefault="00015B49" w:rsidP="00015B49">
            <w:pPr>
              <w:rPr>
                <w:color w:val="auto"/>
                <w:sz w:val="22"/>
                <w:szCs w:val="22"/>
              </w:rPr>
            </w:pPr>
            <w:r w:rsidRPr="00015B49">
              <w:rPr>
                <w:color w:val="auto"/>
                <w:sz w:val="22"/>
                <w:szCs w:val="22"/>
              </w:rPr>
              <w:t xml:space="preserve">By closing gaps in education and future employment, we can ensure that every child has the chance to live a happy, healthy, successful and long life – regardless of their background. </w:t>
            </w:r>
          </w:p>
          <w:p w14:paraId="2A7D54E9" w14:textId="6E38D197" w:rsidR="00E66558" w:rsidRPr="00015B49" w:rsidRDefault="00015B49" w:rsidP="005725A3">
            <w:pPr>
              <w:rPr>
                <w:b/>
                <w:color w:val="FF0000"/>
                <w:sz w:val="28"/>
                <w:szCs w:val="28"/>
              </w:rPr>
            </w:pPr>
            <w:r w:rsidRPr="00015B49">
              <w:rPr>
                <w:b/>
                <w:color w:val="FF0000"/>
                <w:sz w:val="28"/>
                <w:szCs w:val="28"/>
              </w:rPr>
              <w:t>At Rush Green Primary School, we aim to turn the class system on its head, promote social mobility for our pupils and inspire our pupils to be the policymakers of the future.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4082A96" w:rsidR="00E66558" w:rsidRPr="00015B49" w:rsidRDefault="00015B49">
            <w:pPr>
              <w:pStyle w:val="TableRowCentered"/>
              <w:jc w:val="left"/>
              <w:rPr>
                <w:b/>
                <w:sz w:val="22"/>
                <w:szCs w:val="22"/>
              </w:rPr>
            </w:pPr>
            <w:r w:rsidRPr="00015B49">
              <w:rPr>
                <w:b/>
                <w:sz w:val="22"/>
                <w:szCs w:val="22"/>
              </w:rPr>
              <w:t>Safeguarding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BA0679" w:rsidR="00E66558" w:rsidRPr="00015B49" w:rsidRDefault="00015B49">
            <w:pPr>
              <w:pStyle w:val="TableRowCentered"/>
              <w:jc w:val="left"/>
              <w:rPr>
                <w:b/>
                <w:sz w:val="22"/>
                <w:szCs w:val="22"/>
              </w:rPr>
            </w:pPr>
            <w:r w:rsidRPr="00015B49">
              <w:rPr>
                <w:b/>
                <w:sz w:val="22"/>
                <w:szCs w:val="22"/>
              </w:rPr>
              <w:t>Attendance and high persistent absence rates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524207B" w:rsidR="00E66558" w:rsidRPr="00015B49" w:rsidRDefault="00A3148A">
            <w:pPr>
              <w:pStyle w:val="TableRowCentered"/>
              <w:jc w:val="left"/>
              <w:rPr>
                <w:b/>
                <w:sz w:val="22"/>
                <w:szCs w:val="22"/>
              </w:rPr>
            </w:pPr>
            <w:r>
              <w:rPr>
                <w:b/>
                <w:sz w:val="22"/>
                <w:szCs w:val="22"/>
              </w:rPr>
              <w:t>Closing g</w:t>
            </w:r>
            <w:r w:rsidR="00015B49" w:rsidRPr="00015B49">
              <w:rPr>
                <w:b/>
                <w:sz w:val="22"/>
                <w:szCs w:val="22"/>
              </w:rPr>
              <w:t xml:space="preserve">aps in learning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7EF06AF" w:rsidR="00E66558" w:rsidRPr="00015B49" w:rsidRDefault="00AA2673">
            <w:pPr>
              <w:pStyle w:val="TableRowCentered"/>
              <w:jc w:val="left"/>
              <w:rPr>
                <w:b/>
                <w:iCs/>
                <w:sz w:val="22"/>
              </w:rPr>
            </w:pPr>
            <w:r>
              <w:rPr>
                <w:b/>
                <w:iCs/>
                <w:sz w:val="22"/>
              </w:rPr>
              <w:t xml:space="preserve">Complex needs, including SEMH, </w:t>
            </w:r>
            <w:r w:rsidR="00BA4033">
              <w:rPr>
                <w:b/>
                <w:iCs/>
                <w:sz w:val="22"/>
              </w:rPr>
              <w:t xml:space="preserve">other forms of </w:t>
            </w:r>
            <w:r>
              <w:rPr>
                <w:b/>
                <w:iCs/>
                <w:sz w:val="22"/>
              </w:rPr>
              <w:t>SEND</w:t>
            </w:r>
            <w:r w:rsidR="00BA4033">
              <w:rPr>
                <w:b/>
                <w:iCs/>
                <w:sz w:val="22"/>
              </w:rPr>
              <w:t>, social worker involvement (</w:t>
            </w:r>
            <w:r>
              <w:rPr>
                <w:b/>
                <w:iCs/>
                <w:sz w:val="22"/>
              </w:rPr>
              <w:t>ACEs</w:t>
            </w:r>
            <w:r w:rsidR="00BA4033">
              <w:rPr>
                <w:b/>
                <w:iCs/>
                <w:sz w:val="22"/>
              </w:rPr>
              <w:t xml:space="preserve"> - </w:t>
            </w:r>
            <w:r>
              <w:rPr>
                <w:b/>
                <w:iCs/>
                <w:sz w:val="22"/>
              </w:rPr>
              <w:t>adverse childhood experiences)</w:t>
            </w:r>
            <w:r w:rsidR="00BA4033">
              <w:rPr>
                <w:b/>
                <w:iCs/>
                <w:sz w:val="22"/>
              </w:rPr>
              <w:t xml:space="preserve">, </w:t>
            </w:r>
            <w:r w:rsidR="00BA4033" w:rsidRPr="00015B49">
              <w:rPr>
                <w:b/>
                <w:sz w:val="22"/>
                <w:szCs w:val="22"/>
              </w:rPr>
              <w:t>historical attendance problems</w:t>
            </w:r>
            <w:r w:rsidR="00BA4033">
              <w:rPr>
                <w:b/>
                <w:sz w:val="22"/>
                <w:szCs w:val="22"/>
              </w:rPr>
              <w:t xml:space="preserve"> (pre</w:t>
            </w:r>
            <w:r w:rsidR="009324AD">
              <w:rPr>
                <w:b/>
                <w:sz w:val="22"/>
                <w:szCs w:val="22"/>
              </w:rPr>
              <w:t>-</w:t>
            </w:r>
            <w:proofErr w:type="spellStart"/>
            <w:r w:rsidR="00BA4033">
              <w:rPr>
                <w:b/>
                <w:sz w:val="22"/>
                <w:szCs w:val="22"/>
              </w:rPr>
              <w:t>Covid</w:t>
            </w:r>
            <w:proofErr w:type="spellEnd"/>
            <w:r w:rsidR="00BA4033">
              <w:rPr>
                <w:b/>
                <w:sz w:val="22"/>
                <w:szCs w:val="22"/>
              </w:rPr>
              <w:t>), low prior attainment and stalled learning progress</w:t>
            </w:r>
          </w:p>
        </w:tc>
      </w:tr>
    </w:tbl>
    <w:p w14:paraId="2A7D54FF" w14:textId="77777777" w:rsidR="00E66558" w:rsidRDefault="009D71E8">
      <w:pPr>
        <w:pStyle w:val="Heading2"/>
        <w:spacing w:before="600"/>
      </w:pPr>
      <w:bookmarkStart w:id="17" w:name="_Toc443397160"/>
      <w:r>
        <w:t xml:space="preserve">Intended outcomes </w:t>
      </w:r>
    </w:p>
    <w:p w14:paraId="2A7D5500" w14:textId="05670FB7"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B50B302" w:rsidR="00E66558" w:rsidRPr="005A785F" w:rsidRDefault="005A785F">
            <w:pPr>
              <w:pStyle w:val="TableRow"/>
              <w:rPr>
                <w:b/>
                <w:sz w:val="22"/>
                <w:szCs w:val="22"/>
              </w:rPr>
            </w:pPr>
            <w:r w:rsidRPr="005A785F">
              <w:rPr>
                <w:b/>
                <w:sz w:val="22"/>
                <w:szCs w:val="22"/>
              </w:rPr>
              <w:t>Pupils are safe and in school</w:t>
            </w:r>
            <w:r w:rsidR="00BA4033">
              <w:rPr>
                <w:b/>
                <w:sz w:val="22"/>
                <w:szCs w:val="22"/>
              </w:rPr>
              <w:t>.</w:t>
            </w:r>
            <w:r w:rsidRPr="005A785F">
              <w:rPr>
                <w:b/>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7FFE1" w14:textId="5FFCD8E9" w:rsidR="00E66558" w:rsidRDefault="005A785F">
            <w:pPr>
              <w:pStyle w:val="TableRowCentered"/>
              <w:jc w:val="left"/>
              <w:rPr>
                <w:b/>
                <w:sz w:val="22"/>
                <w:szCs w:val="22"/>
              </w:rPr>
            </w:pPr>
            <w:r>
              <w:rPr>
                <w:b/>
                <w:sz w:val="22"/>
                <w:szCs w:val="22"/>
              </w:rPr>
              <w:t>Persistent absence improves from 18% (current levels) existing levels to pre-</w:t>
            </w:r>
            <w:proofErr w:type="spellStart"/>
            <w:r>
              <w:rPr>
                <w:b/>
                <w:sz w:val="22"/>
                <w:szCs w:val="22"/>
              </w:rPr>
              <w:t>Covid</w:t>
            </w:r>
            <w:proofErr w:type="spellEnd"/>
            <w:r>
              <w:rPr>
                <w:b/>
                <w:sz w:val="22"/>
                <w:szCs w:val="22"/>
              </w:rPr>
              <w:t xml:space="preserve"> levels (8%)</w:t>
            </w:r>
            <w:r w:rsidR="00E35031">
              <w:rPr>
                <w:b/>
                <w:sz w:val="22"/>
                <w:szCs w:val="22"/>
              </w:rPr>
              <w:t>.</w:t>
            </w:r>
            <w:r>
              <w:rPr>
                <w:b/>
                <w:sz w:val="22"/>
                <w:szCs w:val="22"/>
              </w:rPr>
              <w:t xml:space="preserve"> </w:t>
            </w:r>
          </w:p>
          <w:p w14:paraId="0A43A425" w14:textId="77777777" w:rsidR="00E35031" w:rsidRDefault="00E35031">
            <w:pPr>
              <w:pStyle w:val="TableRowCentered"/>
              <w:jc w:val="left"/>
              <w:rPr>
                <w:b/>
                <w:sz w:val="22"/>
                <w:szCs w:val="22"/>
              </w:rPr>
            </w:pPr>
          </w:p>
          <w:p w14:paraId="10075241" w14:textId="76025CCA" w:rsidR="005A785F" w:rsidRDefault="005A785F">
            <w:pPr>
              <w:pStyle w:val="TableRowCentered"/>
              <w:jc w:val="left"/>
              <w:rPr>
                <w:b/>
                <w:sz w:val="22"/>
                <w:szCs w:val="22"/>
              </w:rPr>
            </w:pPr>
            <w:r>
              <w:rPr>
                <w:b/>
                <w:sz w:val="22"/>
                <w:szCs w:val="22"/>
              </w:rPr>
              <w:lastRenderedPageBreak/>
              <w:t xml:space="preserve">Overall attendance rates are at least in line with national figures. </w:t>
            </w:r>
          </w:p>
          <w:p w14:paraId="53AE9B41" w14:textId="77777777" w:rsidR="00BA4033" w:rsidRDefault="00BA4033">
            <w:pPr>
              <w:pStyle w:val="TableRowCentered"/>
              <w:jc w:val="left"/>
              <w:rPr>
                <w:b/>
                <w:sz w:val="22"/>
                <w:szCs w:val="22"/>
              </w:rPr>
            </w:pPr>
          </w:p>
          <w:p w14:paraId="2A7D5505" w14:textId="69E32A4A" w:rsidR="00DF0685" w:rsidRPr="005A785F" w:rsidRDefault="00E35031">
            <w:pPr>
              <w:pStyle w:val="TableRowCentered"/>
              <w:jc w:val="left"/>
              <w:rPr>
                <w:b/>
                <w:sz w:val="22"/>
                <w:szCs w:val="22"/>
              </w:rPr>
            </w:pPr>
            <w:r>
              <w:rPr>
                <w:b/>
                <w:sz w:val="22"/>
                <w:szCs w:val="22"/>
              </w:rPr>
              <w:t>Where there are, or have been safeguarding concerns, children are in school, can be seen and are safe.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ED4C42" w:rsidR="00E66558" w:rsidRPr="005A785F" w:rsidRDefault="00E35031">
            <w:pPr>
              <w:pStyle w:val="TableRow"/>
              <w:rPr>
                <w:b/>
                <w:sz w:val="22"/>
                <w:szCs w:val="22"/>
              </w:rPr>
            </w:pPr>
            <w:r w:rsidRPr="00015B49">
              <w:rPr>
                <w:b/>
                <w:sz w:val="22"/>
                <w:szCs w:val="22"/>
              </w:rPr>
              <w:lastRenderedPageBreak/>
              <w:t xml:space="preserve">Gaps in learning </w:t>
            </w:r>
            <w:r w:rsidR="006B55BC">
              <w:rPr>
                <w:b/>
                <w:sz w:val="22"/>
                <w:szCs w:val="22"/>
              </w:rPr>
              <w:t>close.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6EE7" w14:textId="726CA16E" w:rsidR="006B55BC" w:rsidRDefault="006B55BC">
            <w:pPr>
              <w:pStyle w:val="TableRowCentered"/>
              <w:jc w:val="left"/>
              <w:rPr>
                <w:b/>
                <w:sz w:val="22"/>
                <w:szCs w:val="22"/>
              </w:rPr>
            </w:pPr>
            <w:r>
              <w:rPr>
                <w:b/>
                <w:sz w:val="22"/>
                <w:szCs w:val="22"/>
              </w:rPr>
              <w:t>High quality staff training leads to improved outcomes for all pupils.</w:t>
            </w:r>
          </w:p>
          <w:p w14:paraId="117BF573" w14:textId="77777777" w:rsidR="006B55BC" w:rsidRDefault="006B55BC">
            <w:pPr>
              <w:pStyle w:val="TableRowCentered"/>
              <w:jc w:val="left"/>
              <w:rPr>
                <w:b/>
                <w:sz w:val="22"/>
                <w:szCs w:val="22"/>
              </w:rPr>
            </w:pPr>
          </w:p>
          <w:p w14:paraId="750A0605" w14:textId="701284C2" w:rsidR="00BA4033" w:rsidRDefault="00BA4033">
            <w:pPr>
              <w:pStyle w:val="TableRowCentered"/>
              <w:jc w:val="left"/>
              <w:rPr>
                <w:b/>
                <w:sz w:val="22"/>
                <w:szCs w:val="22"/>
              </w:rPr>
            </w:pPr>
            <w:r>
              <w:rPr>
                <w:b/>
                <w:sz w:val="22"/>
                <w:szCs w:val="22"/>
              </w:rPr>
              <w:t>Teaching staff are better able to direct learning so that it meets the needs of all pupil groups.</w:t>
            </w:r>
          </w:p>
          <w:p w14:paraId="3D801715" w14:textId="77777777" w:rsidR="00BA4033" w:rsidRDefault="00BA4033">
            <w:pPr>
              <w:pStyle w:val="TableRowCentered"/>
              <w:jc w:val="left"/>
              <w:rPr>
                <w:b/>
                <w:sz w:val="22"/>
                <w:szCs w:val="22"/>
              </w:rPr>
            </w:pPr>
          </w:p>
          <w:p w14:paraId="2A7D5508" w14:textId="4C078EBA" w:rsidR="00BA4033" w:rsidRPr="005A785F" w:rsidRDefault="00E35031" w:rsidP="006B55BC">
            <w:pPr>
              <w:pStyle w:val="TableRowCentered"/>
              <w:jc w:val="left"/>
              <w:rPr>
                <w:b/>
                <w:sz w:val="22"/>
                <w:szCs w:val="22"/>
              </w:rPr>
            </w:pPr>
            <w:r>
              <w:rPr>
                <w:b/>
                <w:sz w:val="22"/>
                <w:szCs w:val="22"/>
              </w:rPr>
              <w:t>Progress is accelerated so that gaps in learning begin to close with peers.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E8D475" w:rsidR="00E66558" w:rsidRPr="005A785F" w:rsidRDefault="00AA2673">
            <w:pPr>
              <w:pStyle w:val="TableRow"/>
              <w:rPr>
                <w:b/>
                <w:sz w:val="22"/>
                <w:szCs w:val="22"/>
              </w:rPr>
            </w:pPr>
            <w:r>
              <w:rPr>
                <w:b/>
                <w:sz w:val="22"/>
                <w:szCs w:val="22"/>
              </w:rPr>
              <w:t>Complex needs for many disadvantaged children</w:t>
            </w:r>
            <w:r w:rsidR="00BA4033">
              <w:rPr>
                <w:b/>
                <w:sz w:val="22"/>
                <w:szCs w:val="22"/>
              </w:rPr>
              <w:t xml:space="preserve"> are met.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BDD1" w14:textId="77777777" w:rsidR="00E66558" w:rsidRDefault="00AA2673">
            <w:pPr>
              <w:pStyle w:val="TableRowCentered"/>
              <w:jc w:val="left"/>
              <w:rPr>
                <w:b/>
                <w:sz w:val="22"/>
                <w:szCs w:val="22"/>
              </w:rPr>
            </w:pPr>
            <w:r>
              <w:rPr>
                <w:b/>
                <w:sz w:val="22"/>
                <w:szCs w:val="22"/>
              </w:rPr>
              <w:t>Multi-agency working results in pupil need</w:t>
            </w:r>
            <w:r w:rsidR="006B55BC">
              <w:rPr>
                <w:b/>
                <w:sz w:val="22"/>
                <w:szCs w:val="22"/>
              </w:rPr>
              <w:t>s</w:t>
            </w:r>
            <w:r>
              <w:rPr>
                <w:b/>
                <w:sz w:val="22"/>
                <w:szCs w:val="22"/>
              </w:rPr>
              <w:t xml:space="preserve"> being met. </w:t>
            </w:r>
          </w:p>
          <w:p w14:paraId="42CF4FD5" w14:textId="77777777" w:rsidR="006B55BC" w:rsidRDefault="006B55BC">
            <w:pPr>
              <w:pStyle w:val="TableRowCentered"/>
              <w:jc w:val="left"/>
              <w:rPr>
                <w:b/>
                <w:sz w:val="22"/>
                <w:szCs w:val="22"/>
              </w:rPr>
            </w:pPr>
          </w:p>
          <w:p w14:paraId="2A7D550B" w14:textId="58FB4B70" w:rsidR="006B55BC" w:rsidRPr="005A785F" w:rsidRDefault="006B55BC" w:rsidP="006B55BC">
            <w:pPr>
              <w:pStyle w:val="TableRowCentered"/>
              <w:jc w:val="left"/>
              <w:rPr>
                <w:b/>
                <w:sz w:val="22"/>
                <w:szCs w:val="22"/>
              </w:rPr>
            </w:pPr>
            <w:r>
              <w:rPr>
                <w:b/>
                <w:sz w:val="22"/>
                <w:szCs w:val="22"/>
              </w:rPr>
              <w:t>High needs pupils are regulated and engage in learning.</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827A18E" w:rsidR="00E66558" w:rsidRPr="00D95D98" w:rsidRDefault="009D71E8">
      <w:pPr>
        <w:rPr>
          <w:b/>
        </w:rPr>
      </w:pPr>
      <w:r w:rsidRPr="00D95D98">
        <w:rPr>
          <w:b/>
        </w:rPr>
        <w:t>Budgeted cost: £</w:t>
      </w:r>
      <w:r w:rsidR="00D95D98">
        <w:rPr>
          <w:b/>
        </w:rPr>
        <w:t>25</w:t>
      </w:r>
      <w:r w:rsidR="0005345E" w:rsidRPr="00D95D98">
        <w:rPr>
          <w:b/>
        </w:rPr>
        <w:t>,000</w:t>
      </w:r>
    </w:p>
    <w:tbl>
      <w:tblPr>
        <w:tblW w:w="5000" w:type="pct"/>
        <w:tblCellMar>
          <w:left w:w="10" w:type="dxa"/>
          <w:right w:w="10" w:type="dxa"/>
        </w:tblCellMar>
        <w:tblLook w:val="04A0" w:firstRow="1" w:lastRow="0" w:firstColumn="1" w:lastColumn="0" w:noHBand="0" w:noVBand="1"/>
      </w:tblPr>
      <w:tblGrid>
        <w:gridCol w:w="1917"/>
        <w:gridCol w:w="6438"/>
        <w:gridCol w:w="1131"/>
      </w:tblGrid>
      <w:tr w:rsidR="00E66558" w14:paraId="2A7D5519"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4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A2D3A" w:rsidRDefault="009D71E8">
            <w:pPr>
              <w:pStyle w:val="TableHeader"/>
              <w:jc w:val="left"/>
              <w:rPr>
                <w:sz w:val="16"/>
                <w:szCs w:val="16"/>
              </w:rPr>
            </w:pPr>
            <w:r w:rsidRPr="006A2D3A">
              <w:rPr>
                <w:sz w:val="16"/>
                <w:szCs w:val="16"/>
              </w:rPr>
              <w:t>Challenge number(s) addressed</w:t>
            </w:r>
          </w:p>
        </w:tc>
      </w:tr>
      <w:tr w:rsidR="003F570D" w14:paraId="2A7D551D"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6525" w14:textId="0B9EE81E" w:rsidR="003F570D" w:rsidRDefault="003F570D">
            <w:pPr>
              <w:pStyle w:val="TableRow"/>
              <w:rPr>
                <w:sz w:val="22"/>
                <w:szCs w:val="22"/>
              </w:rPr>
            </w:pPr>
            <w:r>
              <w:rPr>
                <w:sz w:val="22"/>
                <w:szCs w:val="22"/>
              </w:rPr>
              <w:t>NPQLTD cover costs 8 x days training</w:t>
            </w:r>
          </w:p>
          <w:p w14:paraId="6A3B8546" w14:textId="2ADA971F" w:rsidR="009F5217" w:rsidRDefault="009F5217">
            <w:pPr>
              <w:pStyle w:val="TableRow"/>
              <w:rPr>
                <w:sz w:val="22"/>
                <w:szCs w:val="22"/>
              </w:rPr>
            </w:pPr>
            <w:r>
              <w:rPr>
                <w:sz w:val="22"/>
                <w:szCs w:val="22"/>
              </w:rPr>
              <w:t xml:space="preserve">Cover costs </w:t>
            </w:r>
          </w:p>
          <w:p w14:paraId="2A7D551A" w14:textId="52AC1F44" w:rsidR="003F570D" w:rsidRPr="002B1148" w:rsidRDefault="003F570D" w:rsidP="0005345E">
            <w:pPr>
              <w:pStyle w:val="TableRow"/>
              <w:rPr>
                <w:sz w:val="22"/>
                <w:szCs w:val="22"/>
              </w:rPr>
            </w:pPr>
          </w:p>
        </w:tc>
        <w:tc>
          <w:tcPr>
            <w:tcW w:w="64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455DA1" w14:textId="567C09D3" w:rsidR="003F570D" w:rsidRDefault="003F570D">
            <w:pPr>
              <w:pStyle w:val="TableRowCentered"/>
              <w:jc w:val="left"/>
              <w:rPr>
                <w:sz w:val="22"/>
                <w:szCs w:val="22"/>
              </w:rPr>
            </w:pPr>
            <w:r>
              <w:rPr>
                <w:sz w:val="22"/>
                <w:szCs w:val="22"/>
              </w:rPr>
              <w:t xml:space="preserve">Improve the quality of teacher training across the setting and ensure that </w:t>
            </w:r>
            <w:r w:rsidR="00F541E3">
              <w:rPr>
                <w:sz w:val="22"/>
                <w:szCs w:val="22"/>
              </w:rPr>
              <w:t xml:space="preserve">staff needs are met. </w:t>
            </w:r>
          </w:p>
          <w:p w14:paraId="6F91C4D5" w14:textId="46390FC5" w:rsidR="006A2D3A" w:rsidRDefault="006A2D3A">
            <w:pPr>
              <w:pStyle w:val="TableRowCentered"/>
              <w:jc w:val="left"/>
              <w:rPr>
                <w:sz w:val="22"/>
                <w:szCs w:val="22"/>
              </w:rPr>
            </w:pPr>
          </w:p>
          <w:p w14:paraId="161EE417" w14:textId="1097F506" w:rsidR="006A2D3A" w:rsidRPr="00764B77" w:rsidRDefault="006A2D3A">
            <w:pPr>
              <w:pStyle w:val="TableRowCentered"/>
              <w:jc w:val="left"/>
              <w:rPr>
                <w:b/>
                <w:sz w:val="22"/>
                <w:szCs w:val="22"/>
              </w:rPr>
            </w:pPr>
            <w:r w:rsidRPr="00764B77">
              <w:rPr>
                <w:b/>
                <w:sz w:val="22"/>
                <w:szCs w:val="22"/>
              </w:rPr>
              <w:t xml:space="preserve">Effective Professional Guidance Report </w:t>
            </w:r>
          </w:p>
          <w:p w14:paraId="309F9DE1" w14:textId="6F63C0E1" w:rsidR="006A2D3A" w:rsidRDefault="00FC0CF6">
            <w:pPr>
              <w:pStyle w:val="TableRowCentered"/>
              <w:jc w:val="left"/>
              <w:rPr>
                <w:sz w:val="22"/>
                <w:szCs w:val="22"/>
              </w:rPr>
            </w:pPr>
            <w:hyperlink r:id="rId9" w:history="1">
              <w:r w:rsidR="006A2D3A">
                <w:rPr>
                  <w:rStyle w:val="Hyperlink"/>
                </w:rPr>
                <w:t>Effective Professional Development | EEF (educationendowmentfoundation.org.uk)</w:t>
              </w:r>
            </w:hyperlink>
          </w:p>
          <w:p w14:paraId="08695428" w14:textId="3E45F6AD" w:rsidR="00F541E3" w:rsidRDefault="006A2D3A" w:rsidP="00F541E3">
            <w:pPr>
              <w:pStyle w:val="TableRowCentered"/>
              <w:ind w:left="0"/>
              <w:jc w:val="left"/>
              <w:rPr>
                <w:rFonts w:cs="Arial"/>
                <w:i/>
                <w:color w:val="auto"/>
                <w:sz w:val="22"/>
                <w:szCs w:val="22"/>
                <w:shd w:val="clear" w:color="auto" w:fill="FFFFFF"/>
              </w:rPr>
            </w:pPr>
            <w:r w:rsidRPr="006A2D3A">
              <w:rPr>
                <w:rFonts w:cs="Arial"/>
                <w:i/>
                <w:color w:val="auto"/>
                <w:sz w:val="22"/>
                <w:szCs w:val="22"/>
                <w:shd w:val="clear" w:color="auto" w:fill="FFFFFF"/>
              </w:rPr>
              <w:t>Supporting high quality teaching is pivotal in improving children’s outcomes. Indeed, research tells us that high quality teaching can narrow the disadvantage gap. </w:t>
            </w:r>
          </w:p>
          <w:p w14:paraId="1D152DAE" w14:textId="689DF881" w:rsidR="006A2D3A" w:rsidRDefault="006A2D3A" w:rsidP="00F541E3">
            <w:pPr>
              <w:pStyle w:val="TableRowCentered"/>
              <w:ind w:left="0"/>
              <w:jc w:val="left"/>
              <w:rPr>
                <w:rFonts w:cs="Arial"/>
                <w:i/>
                <w:color w:val="auto"/>
                <w:sz w:val="22"/>
                <w:szCs w:val="22"/>
              </w:rPr>
            </w:pPr>
            <w:r>
              <w:rPr>
                <w:rFonts w:cs="Arial"/>
                <w:i/>
                <w:color w:val="auto"/>
                <w:sz w:val="22"/>
                <w:szCs w:val="22"/>
              </w:rPr>
              <w:t xml:space="preserve">And </w:t>
            </w:r>
          </w:p>
          <w:p w14:paraId="0F535F0F" w14:textId="118F34E5" w:rsidR="006A2D3A" w:rsidRDefault="006A2D3A" w:rsidP="00F541E3">
            <w:pPr>
              <w:pStyle w:val="TableRowCentered"/>
              <w:ind w:left="0"/>
              <w:jc w:val="left"/>
              <w:rPr>
                <w:rFonts w:cs="Arial"/>
                <w:i/>
                <w:color w:val="auto"/>
                <w:sz w:val="22"/>
                <w:szCs w:val="22"/>
                <w:shd w:val="clear" w:color="auto" w:fill="FFFFFF"/>
              </w:rPr>
            </w:pPr>
            <w:r w:rsidRPr="006A2D3A">
              <w:rPr>
                <w:rFonts w:cs="Arial"/>
                <w:i/>
                <w:color w:val="auto"/>
                <w:sz w:val="22"/>
                <w:szCs w:val="22"/>
                <w:shd w:val="clear" w:color="auto" w:fill="FFFFFF"/>
              </w:rPr>
              <w:t>PD has great potential; but it also comes with costs. We know that teachers engage in professional development activities whilst balancing multiple and, at times, competing commitments and time pressures. The need is clear, therefore, for PD to be well</w:t>
            </w:r>
            <w:r w:rsidRPr="006A2D3A">
              <w:rPr>
                <w:rFonts w:cs="Arial"/>
                <w:i/>
                <w:color w:val="auto"/>
                <w:sz w:val="22"/>
                <w:szCs w:val="22"/>
                <w:shd w:val="clear" w:color="auto" w:fill="FFFFFF"/>
              </w:rPr>
              <w:noBreakHyphen/>
              <w:t>designed, selected, and implemented so that the investment is justified.</w:t>
            </w:r>
          </w:p>
          <w:p w14:paraId="3DECE5AC" w14:textId="77777777" w:rsidR="00CD6BB7" w:rsidRPr="006A2D3A" w:rsidRDefault="00CD6BB7" w:rsidP="00F541E3">
            <w:pPr>
              <w:pStyle w:val="TableRowCentered"/>
              <w:ind w:left="0"/>
              <w:jc w:val="left"/>
              <w:rPr>
                <w:rFonts w:cs="Arial"/>
                <w:i/>
                <w:color w:val="auto"/>
                <w:sz w:val="22"/>
                <w:szCs w:val="22"/>
              </w:rPr>
            </w:pPr>
          </w:p>
          <w:p w14:paraId="3F514F8A" w14:textId="1A659296" w:rsidR="00F541E3" w:rsidRPr="00764B77" w:rsidRDefault="00F541E3">
            <w:pPr>
              <w:pStyle w:val="TableRowCentered"/>
              <w:jc w:val="left"/>
              <w:rPr>
                <w:b/>
                <w:sz w:val="22"/>
                <w:szCs w:val="22"/>
              </w:rPr>
            </w:pPr>
            <w:r w:rsidRPr="00764B77">
              <w:rPr>
                <w:b/>
                <w:sz w:val="22"/>
                <w:szCs w:val="22"/>
              </w:rPr>
              <w:t>The EEF Guide to Supporting School Planning: A Tiered Approach</w:t>
            </w:r>
          </w:p>
          <w:p w14:paraId="45B54827" w14:textId="0EEDE16A" w:rsidR="00F541E3" w:rsidRDefault="00FC0CF6">
            <w:pPr>
              <w:pStyle w:val="TableRowCentered"/>
              <w:jc w:val="left"/>
            </w:pPr>
            <w:hyperlink r:id="rId10" w:history="1">
              <w:r w:rsidR="00F541E3">
                <w:rPr>
                  <w:rStyle w:val="Hyperlink"/>
                </w:rPr>
                <w:t>The_EEF_guide_to_supporting_school_planning_-_A_tiered_approach_to_2021.pdf (educationendowmentfoundation.org.uk)</w:t>
              </w:r>
            </w:hyperlink>
          </w:p>
          <w:p w14:paraId="56ED6A23" w14:textId="6D0D9741" w:rsidR="00F541E3" w:rsidRDefault="00F541E3">
            <w:pPr>
              <w:pStyle w:val="TableRowCentered"/>
              <w:jc w:val="left"/>
              <w:rPr>
                <w:sz w:val="22"/>
                <w:szCs w:val="22"/>
              </w:rPr>
            </w:pPr>
          </w:p>
          <w:p w14:paraId="3D7090F3" w14:textId="4E4AAEC8" w:rsidR="00F541E3" w:rsidRDefault="00F541E3">
            <w:pPr>
              <w:pStyle w:val="TableRowCentered"/>
              <w:jc w:val="left"/>
              <w:rPr>
                <w:i/>
                <w:sz w:val="22"/>
                <w:szCs w:val="22"/>
              </w:rPr>
            </w:pPr>
            <w:r w:rsidRPr="00F541E3">
              <w:rPr>
                <w:i/>
                <w:sz w:val="22"/>
                <w:szCs w:val="22"/>
              </w:rPr>
              <w:t>‘Whole-school planning that focuses on high-quality teaching requires the support factor of sustained professional development. Focused spending on improving teaching in the coming year may include training and support for early career teachers in particular.’</w:t>
            </w:r>
          </w:p>
          <w:p w14:paraId="22200C65" w14:textId="42883B15" w:rsidR="00F541E3" w:rsidRDefault="00F541E3">
            <w:pPr>
              <w:pStyle w:val="TableRowCentered"/>
              <w:jc w:val="left"/>
              <w:rPr>
                <w:i/>
                <w:sz w:val="22"/>
                <w:szCs w:val="22"/>
              </w:rPr>
            </w:pPr>
          </w:p>
          <w:p w14:paraId="7801C657" w14:textId="77777777" w:rsidR="00F541E3" w:rsidRDefault="00F541E3">
            <w:pPr>
              <w:pStyle w:val="TableRowCentered"/>
              <w:jc w:val="left"/>
              <w:rPr>
                <w:i/>
                <w:sz w:val="22"/>
                <w:szCs w:val="22"/>
              </w:rPr>
            </w:pPr>
            <w:r>
              <w:rPr>
                <w:i/>
                <w:sz w:val="22"/>
                <w:szCs w:val="22"/>
              </w:rPr>
              <w:t xml:space="preserve">And </w:t>
            </w:r>
          </w:p>
          <w:p w14:paraId="7F4F7DE6" w14:textId="1FB0D159" w:rsidR="00F541E3" w:rsidRPr="00F541E3" w:rsidRDefault="00F541E3">
            <w:pPr>
              <w:pStyle w:val="TableRowCentered"/>
              <w:jc w:val="left"/>
              <w:rPr>
                <w:i/>
                <w:sz w:val="22"/>
                <w:szCs w:val="22"/>
              </w:rPr>
            </w:pPr>
            <w:r w:rsidRPr="00F541E3">
              <w:rPr>
                <w:i/>
                <w:sz w:val="22"/>
                <w:szCs w:val="22"/>
              </w:rPr>
              <w:t>‘Having deep subject knowledge and a flexible understanding of the content being taught is clearly important.’</w:t>
            </w:r>
          </w:p>
          <w:p w14:paraId="255F263F" w14:textId="0A75119D" w:rsidR="003F570D" w:rsidRDefault="003F570D">
            <w:pPr>
              <w:pStyle w:val="TableRowCentered"/>
              <w:jc w:val="left"/>
              <w:rPr>
                <w:sz w:val="22"/>
                <w:szCs w:val="22"/>
              </w:rPr>
            </w:pPr>
          </w:p>
          <w:p w14:paraId="290C8D65" w14:textId="18E5CF79" w:rsidR="003F570D" w:rsidRDefault="003F570D" w:rsidP="003F570D">
            <w:pPr>
              <w:pStyle w:val="TableRowCentered"/>
              <w:jc w:val="left"/>
              <w:rPr>
                <w:rFonts w:cs="Arial"/>
                <w:color w:val="000000"/>
                <w:sz w:val="22"/>
                <w:szCs w:val="22"/>
                <w:shd w:val="clear" w:color="auto" w:fill="FFFFFF"/>
              </w:rPr>
            </w:pPr>
            <w:r w:rsidRPr="00764B77">
              <w:rPr>
                <w:rFonts w:cs="Arial"/>
                <w:b/>
                <w:color w:val="000000"/>
                <w:sz w:val="22"/>
                <w:szCs w:val="22"/>
                <w:shd w:val="clear" w:color="auto" w:fill="FFFFFF"/>
              </w:rPr>
              <w:t>The Nuffield Early Language Intervention (NELI)</w:t>
            </w:r>
            <w:r w:rsidRPr="00E328D3">
              <w:rPr>
                <w:rFonts w:cs="Arial"/>
                <w:color w:val="000000"/>
                <w:sz w:val="22"/>
                <w:szCs w:val="22"/>
                <w:shd w:val="clear" w:color="auto" w:fill="FFFFFF"/>
              </w:rPr>
              <w:t xml:space="preserve"> is a programme for children in Reception (4-5 years) which has been found to improve children’s language and early literacy skills. The programme involves a trained teaching assistant providing short small-group and individual teaching sessions to around 3-6 pupils for 20-weeks. Robust evaluations found NELI children made on average 3 months of additional progress in language.</w:t>
            </w:r>
          </w:p>
          <w:p w14:paraId="43551E03" w14:textId="336D36C0" w:rsidR="00F541E3" w:rsidRDefault="00F541E3" w:rsidP="003F570D">
            <w:pPr>
              <w:pStyle w:val="TableRowCentered"/>
              <w:jc w:val="left"/>
              <w:rPr>
                <w:rFonts w:cs="Arial"/>
                <w:color w:val="000000"/>
                <w:sz w:val="22"/>
                <w:szCs w:val="22"/>
                <w:shd w:val="clear" w:color="auto" w:fill="FFFFFF"/>
              </w:rPr>
            </w:pPr>
          </w:p>
          <w:p w14:paraId="7FDA3F89" w14:textId="575003A9" w:rsidR="00F541E3" w:rsidRDefault="00FC0CF6" w:rsidP="003F570D">
            <w:pPr>
              <w:pStyle w:val="TableRowCentered"/>
              <w:jc w:val="left"/>
              <w:rPr>
                <w:rFonts w:cs="Arial"/>
                <w:color w:val="000000"/>
                <w:sz w:val="22"/>
                <w:szCs w:val="22"/>
                <w:shd w:val="clear" w:color="auto" w:fill="FFFFFF"/>
              </w:rPr>
            </w:pPr>
            <w:hyperlink r:id="rId11" w:history="1">
              <w:r w:rsidR="00F541E3">
                <w:rPr>
                  <w:rStyle w:val="Hyperlink"/>
                </w:rPr>
                <w:t>Home | Nuffield Early Language Intervention (NELI) (teachneli.org)</w:t>
              </w:r>
            </w:hyperlink>
          </w:p>
          <w:p w14:paraId="48315EBE" w14:textId="77777777" w:rsidR="003F570D" w:rsidRDefault="003F570D">
            <w:pPr>
              <w:pStyle w:val="TableRowCentered"/>
              <w:jc w:val="left"/>
              <w:rPr>
                <w:sz w:val="22"/>
                <w:szCs w:val="22"/>
              </w:rPr>
            </w:pPr>
          </w:p>
          <w:p w14:paraId="252B9624" w14:textId="77777777" w:rsidR="003F570D" w:rsidRPr="00764B77" w:rsidRDefault="003F570D">
            <w:pPr>
              <w:pStyle w:val="TableRowCentered"/>
              <w:jc w:val="left"/>
              <w:rPr>
                <w:b/>
                <w:sz w:val="22"/>
                <w:szCs w:val="22"/>
              </w:rPr>
            </w:pPr>
            <w:r w:rsidRPr="00764B77">
              <w:rPr>
                <w:b/>
                <w:sz w:val="22"/>
                <w:szCs w:val="22"/>
              </w:rPr>
              <w:t xml:space="preserve">EEF: 15 Lessons Learned in the EEF’s First 6 Years </w:t>
            </w:r>
          </w:p>
          <w:p w14:paraId="2C7868A1" w14:textId="77777777" w:rsidR="003F570D" w:rsidRDefault="00FC0CF6">
            <w:pPr>
              <w:pStyle w:val="TableRowCentered"/>
              <w:jc w:val="left"/>
            </w:pPr>
            <w:hyperlink r:id="rId12" w:history="1">
              <w:r w:rsidR="003F570D">
                <w:rPr>
                  <w:rStyle w:val="Hyperlink"/>
                </w:rPr>
                <w:t>​15 key lessons learned in the EEF’s first six years | EEF (educationendowmentfoundation.org.uk)</w:t>
              </w:r>
            </w:hyperlink>
          </w:p>
          <w:p w14:paraId="0113FADA" w14:textId="61992485" w:rsidR="003F570D" w:rsidRDefault="003F570D">
            <w:pPr>
              <w:pStyle w:val="TableRowCentered"/>
              <w:jc w:val="left"/>
              <w:rPr>
                <w:rFonts w:cs="Arial"/>
                <w:i/>
                <w:color w:val="263238"/>
                <w:sz w:val="22"/>
                <w:szCs w:val="22"/>
                <w:shd w:val="clear" w:color="auto" w:fill="FFFFFF"/>
              </w:rPr>
            </w:pPr>
            <w:r w:rsidRPr="003F570D">
              <w:rPr>
                <w:rFonts w:cs="Arial"/>
                <w:i/>
                <w:color w:val="263238"/>
                <w:sz w:val="22"/>
                <w:szCs w:val="22"/>
                <w:shd w:val="clear" w:color="auto" w:fill="FFFFFF"/>
              </w:rPr>
              <w:t>‘What happens in the classroom makes the biggest difference: improving teaching quality generally leads to greater improvements at lower cost than structural changes. There is particularly good evidence around the potential impact of teacher professional development; but the supply of high-quality training is limited.’</w:t>
            </w:r>
          </w:p>
          <w:p w14:paraId="4B1AF16F" w14:textId="63AD1779" w:rsidR="003F570D" w:rsidRDefault="003F570D">
            <w:pPr>
              <w:pStyle w:val="TableRowCentered"/>
              <w:jc w:val="left"/>
              <w:rPr>
                <w:rFonts w:cs="Arial"/>
                <w:i/>
                <w:color w:val="263238"/>
                <w:sz w:val="22"/>
                <w:szCs w:val="22"/>
                <w:shd w:val="clear" w:color="auto" w:fill="FFFFFF"/>
              </w:rPr>
            </w:pPr>
          </w:p>
          <w:p w14:paraId="026A693C" w14:textId="06B101B6" w:rsidR="003F570D" w:rsidRDefault="00FC0CF6">
            <w:pPr>
              <w:pStyle w:val="TableRowCentered"/>
              <w:jc w:val="left"/>
            </w:pPr>
            <w:hyperlink r:id="rId13" w:history="1">
              <w:r w:rsidR="003F570D">
                <w:rPr>
                  <w:rStyle w:val="Hyperlink"/>
                </w:rPr>
                <w:t>EEF_Key_lessons_learned.pdf (educationendowmentfoundation.org.uk)</w:t>
              </w:r>
            </w:hyperlink>
          </w:p>
          <w:p w14:paraId="4F9B60A2" w14:textId="16D70590" w:rsidR="003F570D" w:rsidRDefault="003F570D">
            <w:pPr>
              <w:pStyle w:val="TableRowCentered"/>
              <w:jc w:val="left"/>
              <w:rPr>
                <w:rFonts w:cs="Arial"/>
                <w:i/>
                <w:color w:val="263238"/>
                <w:sz w:val="22"/>
                <w:szCs w:val="22"/>
                <w:shd w:val="clear" w:color="auto" w:fill="FFFFFF"/>
              </w:rPr>
            </w:pPr>
          </w:p>
          <w:p w14:paraId="7EB80A43" w14:textId="0FD0D039" w:rsidR="003F570D" w:rsidRPr="003F570D" w:rsidRDefault="003F570D">
            <w:pPr>
              <w:pStyle w:val="TableRowCentered"/>
              <w:jc w:val="left"/>
              <w:rPr>
                <w:i/>
                <w:sz w:val="22"/>
                <w:szCs w:val="22"/>
              </w:rPr>
            </w:pPr>
            <w:r>
              <w:rPr>
                <w:i/>
                <w:sz w:val="22"/>
                <w:szCs w:val="22"/>
              </w:rPr>
              <w:t>‘</w:t>
            </w:r>
            <w:r w:rsidRPr="003F570D">
              <w:rPr>
                <w:i/>
                <w:sz w:val="22"/>
                <w:szCs w:val="22"/>
              </w:rPr>
              <w:t>Early Years education has huge promise in preventing the attainment gap becoming entrenched before children start school. However, it has not – yet – yielded as much as it should. Professional support and training for early years workers is key. Areas with potential include communication and language approaches; self</w:t>
            </w:r>
            <w:r>
              <w:rPr>
                <w:i/>
                <w:sz w:val="22"/>
                <w:szCs w:val="22"/>
              </w:rPr>
              <w:t>-</w:t>
            </w:r>
            <w:r w:rsidRPr="003F570D">
              <w:rPr>
                <w:i/>
                <w:sz w:val="22"/>
                <w:szCs w:val="22"/>
              </w:rPr>
              <w:t>regulation strategies; and parental involvement.</w:t>
            </w:r>
            <w:r>
              <w:rPr>
                <w:i/>
                <w:sz w:val="22"/>
                <w:szCs w:val="22"/>
              </w:rPr>
              <w:t>’</w:t>
            </w:r>
            <w:r w:rsidRPr="003F570D">
              <w:rPr>
                <w:i/>
                <w:sz w:val="22"/>
                <w:szCs w:val="22"/>
              </w:rPr>
              <w:t xml:space="preserve"> </w:t>
            </w:r>
          </w:p>
          <w:p w14:paraId="2A7D551B" w14:textId="2721889C" w:rsidR="003F570D" w:rsidRPr="003F570D" w:rsidRDefault="003F570D" w:rsidP="00612B21">
            <w:pPr>
              <w:pStyle w:val="TableRowCentered"/>
              <w:jc w:val="left"/>
              <w:rPr>
                <w:rFonts w:cs="Arial"/>
                <w:i/>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B93676B" w:rsidR="003F570D" w:rsidRPr="002B1148" w:rsidRDefault="00764B77">
            <w:pPr>
              <w:pStyle w:val="TableRowCentered"/>
              <w:jc w:val="left"/>
              <w:rPr>
                <w:sz w:val="22"/>
                <w:szCs w:val="22"/>
              </w:rPr>
            </w:pPr>
            <w:r>
              <w:rPr>
                <w:sz w:val="22"/>
                <w:szCs w:val="22"/>
              </w:rPr>
              <w:lastRenderedPageBreak/>
              <w:t>3</w:t>
            </w:r>
            <w:r w:rsidR="007B0C0A">
              <w:rPr>
                <w:sz w:val="22"/>
                <w:szCs w:val="22"/>
              </w:rPr>
              <w:t>/4</w:t>
            </w:r>
          </w:p>
        </w:tc>
      </w:tr>
      <w:tr w:rsidR="003F570D" w14:paraId="2A7D5521"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0DC6" w14:textId="31CE7862" w:rsidR="003F570D" w:rsidRDefault="003F570D" w:rsidP="003F570D">
            <w:pPr>
              <w:pStyle w:val="TableRow"/>
              <w:ind w:left="0"/>
              <w:rPr>
                <w:sz w:val="22"/>
                <w:szCs w:val="22"/>
              </w:rPr>
            </w:pPr>
            <w:r>
              <w:rPr>
                <w:sz w:val="22"/>
                <w:szCs w:val="22"/>
              </w:rPr>
              <w:t xml:space="preserve">NELI training costs and cover </w:t>
            </w:r>
          </w:p>
          <w:p w14:paraId="66E2155F" w14:textId="646EE94D" w:rsidR="003F570D" w:rsidRDefault="003F570D">
            <w:pPr>
              <w:pStyle w:val="TableRow"/>
              <w:rPr>
                <w:sz w:val="22"/>
                <w:szCs w:val="22"/>
              </w:rPr>
            </w:pPr>
            <w:r>
              <w:rPr>
                <w:sz w:val="22"/>
                <w:szCs w:val="22"/>
              </w:rPr>
              <w:t xml:space="preserve">4 x </w:t>
            </w:r>
            <w:r w:rsidR="009F5217">
              <w:rPr>
                <w:sz w:val="22"/>
                <w:szCs w:val="22"/>
              </w:rPr>
              <w:t>3 days</w:t>
            </w:r>
            <w:r>
              <w:rPr>
                <w:sz w:val="22"/>
                <w:szCs w:val="22"/>
              </w:rPr>
              <w:t xml:space="preserve"> of training (68 hours in total) </w:t>
            </w:r>
          </w:p>
          <w:p w14:paraId="579A2DF3" w14:textId="77777777" w:rsidR="003F570D" w:rsidRDefault="003F570D">
            <w:pPr>
              <w:pStyle w:val="TableRow"/>
              <w:rPr>
                <w:sz w:val="22"/>
                <w:szCs w:val="22"/>
              </w:rPr>
            </w:pPr>
          </w:p>
          <w:p w14:paraId="26440031" w14:textId="77777777" w:rsidR="003F570D" w:rsidRDefault="003F570D">
            <w:pPr>
              <w:pStyle w:val="TableRow"/>
              <w:rPr>
                <w:sz w:val="22"/>
                <w:szCs w:val="22"/>
              </w:rPr>
            </w:pPr>
            <w:r>
              <w:rPr>
                <w:sz w:val="22"/>
                <w:szCs w:val="22"/>
              </w:rPr>
              <w:t>80 hours of delivery time over 20 weeks</w:t>
            </w:r>
          </w:p>
          <w:p w14:paraId="2EFD1F92" w14:textId="77777777" w:rsidR="009F5217" w:rsidRDefault="009F5217">
            <w:pPr>
              <w:pStyle w:val="TableRow"/>
              <w:rPr>
                <w:sz w:val="22"/>
                <w:szCs w:val="22"/>
              </w:rPr>
            </w:pPr>
          </w:p>
          <w:p w14:paraId="5B80C4C0" w14:textId="17E798B8" w:rsidR="0005345E" w:rsidRPr="002B1148" w:rsidRDefault="009F5217" w:rsidP="0005345E">
            <w:pPr>
              <w:pStyle w:val="TableRow"/>
              <w:ind w:left="0"/>
              <w:rPr>
                <w:sz w:val="22"/>
                <w:szCs w:val="22"/>
              </w:rPr>
            </w:pPr>
            <w:r>
              <w:rPr>
                <w:sz w:val="22"/>
                <w:szCs w:val="22"/>
              </w:rPr>
              <w:lastRenderedPageBreak/>
              <w:t xml:space="preserve">12 days cover costs  </w:t>
            </w:r>
          </w:p>
          <w:p w14:paraId="2A7D551E" w14:textId="2FA86F37" w:rsidR="009F5217" w:rsidRPr="002B1148" w:rsidRDefault="009F5217" w:rsidP="009F5217">
            <w:pPr>
              <w:pStyle w:val="TableRow"/>
              <w:ind w:left="0"/>
              <w:rPr>
                <w:sz w:val="22"/>
                <w:szCs w:val="22"/>
              </w:rPr>
            </w:pPr>
          </w:p>
        </w:tc>
        <w:tc>
          <w:tcPr>
            <w:tcW w:w="64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AC19130" w:rsidR="003F570D" w:rsidRPr="00E328D3" w:rsidRDefault="003F570D">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58DDC19" w:rsidR="003F570D" w:rsidRPr="002B1148" w:rsidRDefault="00764B77">
            <w:pPr>
              <w:pStyle w:val="TableRowCentered"/>
              <w:jc w:val="left"/>
              <w:rPr>
                <w:sz w:val="22"/>
                <w:szCs w:val="22"/>
              </w:rPr>
            </w:pPr>
            <w:r>
              <w:rPr>
                <w:sz w:val="22"/>
                <w:szCs w:val="22"/>
              </w:rPr>
              <w:t>3</w:t>
            </w:r>
            <w:r w:rsidR="007B0C0A">
              <w:rPr>
                <w:sz w:val="22"/>
                <w:szCs w:val="22"/>
              </w:rPr>
              <w:t>/4</w:t>
            </w:r>
          </w:p>
        </w:tc>
      </w:tr>
      <w:tr w:rsidR="002B1148" w14:paraId="47CB714B"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7433" w14:textId="00D6C856" w:rsidR="002B1148" w:rsidRDefault="002B1148">
            <w:pPr>
              <w:pStyle w:val="TableRow"/>
              <w:rPr>
                <w:sz w:val="22"/>
                <w:szCs w:val="22"/>
              </w:rPr>
            </w:pPr>
            <w:r>
              <w:rPr>
                <w:sz w:val="22"/>
                <w:szCs w:val="22"/>
              </w:rPr>
              <w:lastRenderedPageBreak/>
              <w:t>Maths Master</w:t>
            </w:r>
            <w:r w:rsidR="00ED2322">
              <w:rPr>
                <w:sz w:val="22"/>
                <w:szCs w:val="22"/>
              </w:rPr>
              <w:t>ing Number Programme</w:t>
            </w:r>
            <w:r>
              <w:rPr>
                <w:sz w:val="22"/>
                <w:szCs w:val="22"/>
              </w:rPr>
              <w:t xml:space="preserve"> </w:t>
            </w:r>
            <w:r w:rsidR="00ED2322">
              <w:rPr>
                <w:sz w:val="22"/>
                <w:szCs w:val="22"/>
              </w:rPr>
              <w:t xml:space="preserve">(NCETM) </w:t>
            </w:r>
            <w:r>
              <w:rPr>
                <w:sz w:val="22"/>
                <w:szCs w:val="22"/>
              </w:rPr>
              <w:t>training</w:t>
            </w:r>
            <w:r w:rsidR="00672202">
              <w:rPr>
                <w:sz w:val="22"/>
                <w:szCs w:val="22"/>
              </w:rPr>
              <w:t>. C</w:t>
            </w:r>
            <w:r>
              <w:rPr>
                <w:sz w:val="22"/>
                <w:szCs w:val="22"/>
              </w:rPr>
              <w:t xml:space="preserve">osts </w:t>
            </w:r>
            <w:r w:rsidR="00D05C14">
              <w:rPr>
                <w:sz w:val="22"/>
                <w:szCs w:val="22"/>
              </w:rPr>
              <w:t>for</w:t>
            </w:r>
            <w:r>
              <w:rPr>
                <w:sz w:val="22"/>
                <w:szCs w:val="22"/>
              </w:rPr>
              <w:t xml:space="preserve"> cover </w:t>
            </w:r>
          </w:p>
          <w:p w14:paraId="10DA4B4B" w14:textId="6EB34C52" w:rsidR="00ED2322" w:rsidRDefault="00ED2322">
            <w:pPr>
              <w:pStyle w:val="TableRow"/>
              <w:rPr>
                <w:sz w:val="22"/>
                <w:szCs w:val="22"/>
              </w:rPr>
            </w:pPr>
            <w:r>
              <w:rPr>
                <w:sz w:val="22"/>
                <w:szCs w:val="22"/>
              </w:rPr>
              <w:t>3 x staff (YR, 1 and 2)</w:t>
            </w:r>
            <w:r w:rsidR="00CD6BB7">
              <w:rPr>
                <w:sz w:val="22"/>
                <w:szCs w:val="22"/>
              </w:rPr>
              <w:t xml:space="preserve"> 1.5 days cover per person = 4.5 days cover at </w:t>
            </w:r>
          </w:p>
          <w:p w14:paraId="59C30370" w14:textId="77777777" w:rsidR="009F5217" w:rsidRDefault="009F5217">
            <w:pPr>
              <w:pStyle w:val="TableRow"/>
              <w:rPr>
                <w:sz w:val="22"/>
                <w:szCs w:val="22"/>
              </w:rPr>
            </w:pPr>
          </w:p>
          <w:p w14:paraId="3AD43341" w14:textId="6F83D5A8" w:rsidR="009F5217" w:rsidRDefault="009F5217">
            <w:pPr>
              <w:pStyle w:val="TableRow"/>
              <w:rPr>
                <w:sz w:val="22"/>
                <w:szCs w:val="22"/>
              </w:rPr>
            </w:pP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3755" w14:textId="38DD6F17" w:rsidR="002B1148" w:rsidRDefault="00ED2322">
            <w:pPr>
              <w:pStyle w:val="TableRowCentered"/>
              <w:jc w:val="left"/>
              <w:rPr>
                <w:rFonts w:cs="Arial"/>
                <w:color w:val="auto"/>
                <w:sz w:val="22"/>
                <w:szCs w:val="22"/>
                <w:shd w:val="clear" w:color="auto" w:fill="FFFFFF"/>
              </w:rPr>
            </w:pPr>
            <w:r w:rsidRPr="00764B77">
              <w:rPr>
                <w:rFonts w:cs="Arial"/>
                <w:b/>
                <w:color w:val="auto"/>
                <w:sz w:val="22"/>
                <w:szCs w:val="22"/>
                <w:shd w:val="clear" w:color="auto" w:fill="FFFFFF"/>
              </w:rPr>
              <w:t>NCETM Project (National Centre for Excellence in Teaching Mathematics)</w:t>
            </w:r>
            <w:r>
              <w:rPr>
                <w:rFonts w:cs="Arial"/>
                <w:color w:val="auto"/>
                <w:sz w:val="22"/>
                <w:szCs w:val="22"/>
                <w:shd w:val="clear" w:color="auto" w:fill="FFFFFF"/>
              </w:rPr>
              <w:t xml:space="preserve">. </w:t>
            </w:r>
            <w:r w:rsidRPr="00ED2322">
              <w:rPr>
                <w:rFonts w:cs="Arial"/>
                <w:color w:val="auto"/>
                <w:sz w:val="22"/>
                <w:szCs w:val="22"/>
                <w:shd w:val="clear" w:color="auto" w:fill="FFFFFF"/>
              </w:rPr>
              <w:t>The aim over time is that children will leave KS1 with fluency in calculation and a confidence and flexibility with number. Attention will be given to key knowledge and understanding needed in Reception classes, and progression through KS1 to support success in the future.</w:t>
            </w:r>
          </w:p>
          <w:p w14:paraId="57664C9A" w14:textId="58D0E0FD" w:rsidR="00ED2322" w:rsidRDefault="00ED2322">
            <w:pPr>
              <w:pStyle w:val="TableRowCentered"/>
              <w:jc w:val="left"/>
              <w:rPr>
                <w:rFonts w:cs="Arial"/>
                <w:color w:val="auto"/>
                <w:sz w:val="22"/>
                <w:szCs w:val="22"/>
                <w:shd w:val="clear" w:color="auto" w:fill="FFFFFF"/>
              </w:rPr>
            </w:pPr>
            <w:r w:rsidRPr="00ED2322">
              <w:rPr>
                <w:rFonts w:cs="Arial"/>
                <w:color w:val="auto"/>
                <w:sz w:val="22"/>
                <w:szCs w:val="22"/>
                <w:shd w:val="clear" w:color="auto" w:fill="FFFFFF"/>
              </w:rPr>
              <w:t>Work Group lead participants will be supported by central training and resources. There is an expectation that they will provide a daily teaching session for all children of 10 to 15 minutes, in addition to their normal maths lesson. There is also the expectation that they will contribute to an online community to share practice and engage in critical reflection.</w:t>
            </w:r>
          </w:p>
          <w:p w14:paraId="60543249" w14:textId="60D57347" w:rsidR="003F570D" w:rsidRDefault="003F570D">
            <w:pPr>
              <w:pStyle w:val="TableRowCentered"/>
              <w:jc w:val="left"/>
              <w:rPr>
                <w:color w:val="auto"/>
                <w:sz w:val="22"/>
                <w:szCs w:val="22"/>
              </w:rPr>
            </w:pPr>
          </w:p>
          <w:p w14:paraId="77B45078" w14:textId="15C11E62" w:rsidR="00764B77" w:rsidRPr="00764B77" w:rsidRDefault="00764B77" w:rsidP="00764B77">
            <w:pPr>
              <w:pStyle w:val="TableRowCentered"/>
              <w:jc w:val="left"/>
              <w:rPr>
                <w:b/>
                <w:sz w:val="22"/>
                <w:szCs w:val="22"/>
              </w:rPr>
            </w:pPr>
            <w:r w:rsidRPr="00764B77">
              <w:rPr>
                <w:b/>
                <w:sz w:val="22"/>
                <w:szCs w:val="22"/>
              </w:rPr>
              <w:t xml:space="preserve">EEF: 15 Lessons Learned in the EEF’s First 6 Years </w:t>
            </w:r>
          </w:p>
          <w:p w14:paraId="2809B100" w14:textId="77777777" w:rsidR="003F570D" w:rsidRDefault="00FC0CF6" w:rsidP="003F570D">
            <w:pPr>
              <w:pStyle w:val="TableRowCentered"/>
              <w:jc w:val="left"/>
            </w:pPr>
            <w:hyperlink r:id="rId14" w:history="1">
              <w:r w:rsidR="003F570D">
                <w:rPr>
                  <w:rStyle w:val="Hyperlink"/>
                </w:rPr>
                <w:t>EEF_Key_lessons_learned.pdf (educationendowmentfoundation.org.uk)</w:t>
              </w:r>
            </w:hyperlink>
          </w:p>
          <w:p w14:paraId="7C2BE539" w14:textId="77777777" w:rsidR="003F570D" w:rsidRDefault="003F570D" w:rsidP="003F570D">
            <w:pPr>
              <w:pStyle w:val="TableRowCentered"/>
              <w:jc w:val="left"/>
              <w:rPr>
                <w:rFonts w:cs="Arial"/>
                <w:i/>
                <w:color w:val="263238"/>
                <w:sz w:val="22"/>
                <w:szCs w:val="22"/>
                <w:shd w:val="clear" w:color="auto" w:fill="FFFFFF"/>
              </w:rPr>
            </w:pPr>
            <w:r w:rsidRPr="003F570D">
              <w:rPr>
                <w:rFonts w:cs="Arial"/>
                <w:i/>
                <w:color w:val="263238"/>
                <w:sz w:val="22"/>
                <w:szCs w:val="22"/>
                <w:shd w:val="clear" w:color="auto" w:fill="FFFFFF"/>
              </w:rPr>
              <w:t>‘What happens in the classroom makes the biggest difference: improving teaching quality generally leads to greater improvements at lower cost than structural changes. There is particularly good evidence around the potential impact of teacher professional development; but the supply of high-quality training is limited.’</w:t>
            </w:r>
          </w:p>
          <w:p w14:paraId="499303E8" w14:textId="3B05C20E" w:rsidR="003F570D" w:rsidRDefault="003F570D">
            <w:pPr>
              <w:pStyle w:val="TableRowCentered"/>
              <w:jc w:val="left"/>
              <w:rPr>
                <w:color w:val="auto"/>
                <w:sz w:val="22"/>
                <w:szCs w:val="22"/>
              </w:rPr>
            </w:pPr>
          </w:p>
          <w:p w14:paraId="66F260C9" w14:textId="0825ACE8" w:rsidR="003F570D" w:rsidRPr="00764B77" w:rsidRDefault="003F570D">
            <w:pPr>
              <w:pStyle w:val="TableRowCentered"/>
              <w:jc w:val="left"/>
              <w:rPr>
                <w:b/>
                <w:color w:val="auto"/>
                <w:sz w:val="22"/>
                <w:szCs w:val="22"/>
              </w:rPr>
            </w:pPr>
            <w:r w:rsidRPr="00764B77">
              <w:rPr>
                <w:b/>
                <w:color w:val="auto"/>
                <w:sz w:val="22"/>
                <w:szCs w:val="22"/>
              </w:rPr>
              <w:t xml:space="preserve">Ofsted Maths Teaching Review </w:t>
            </w:r>
          </w:p>
          <w:p w14:paraId="2866EAD8" w14:textId="37598DB4" w:rsidR="003F570D" w:rsidRDefault="00FC0CF6">
            <w:pPr>
              <w:pStyle w:val="TableRowCentered"/>
              <w:jc w:val="left"/>
              <w:rPr>
                <w:color w:val="auto"/>
                <w:sz w:val="22"/>
                <w:szCs w:val="22"/>
              </w:rPr>
            </w:pPr>
            <w:hyperlink r:id="rId15" w:history="1">
              <w:r w:rsidR="003F570D">
                <w:rPr>
                  <w:rStyle w:val="Hyperlink"/>
                </w:rPr>
                <w:t>Ofsted publishes research review on mathematics education - GOV.UK (www.gov.uk)</w:t>
              </w:r>
            </w:hyperlink>
          </w:p>
          <w:p w14:paraId="13E59D6A" w14:textId="6F627D69" w:rsidR="003F570D" w:rsidRDefault="003F570D">
            <w:pPr>
              <w:pStyle w:val="TableRowCentered"/>
              <w:jc w:val="left"/>
              <w:rPr>
                <w:color w:val="auto"/>
                <w:sz w:val="22"/>
                <w:szCs w:val="22"/>
              </w:rPr>
            </w:pPr>
          </w:p>
          <w:p w14:paraId="30720AC0" w14:textId="11E52EA0" w:rsidR="00F541E3" w:rsidRDefault="00F541E3">
            <w:pPr>
              <w:pStyle w:val="TableRowCentered"/>
              <w:jc w:val="left"/>
              <w:rPr>
                <w:color w:val="auto"/>
                <w:sz w:val="22"/>
                <w:szCs w:val="22"/>
              </w:rPr>
            </w:pPr>
            <w:r>
              <w:rPr>
                <w:color w:val="auto"/>
                <w:sz w:val="22"/>
                <w:szCs w:val="22"/>
              </w:rPr>
              <w:t xml:space="preserve">And </w:t>
            </w:r>
          </w:p>
          <w:p w14:paraId="203A7057" w14:textId="7CF486A1" w:rsidR="00764B77" w:rsidRDefault="00764B77">
            <w:pPr>
              <w:pStyle w:val="TableRowCentered"/>
              <w:jc w:val="left"/>
              <w:rPr>
                <w:color w:val="auto"/>
                <w:sz w:val="22"/>
                <w:szCs w:val="22"/>
              </w:rPr>
            </w:pPr>
          </w:p>
          <w:p w14:paraId="15BCC028" w14:textId="77777777" w:rsidR="00764B77" w:rsidRPr="00764B77" w:rsidRDefault="00764B77" w:rsidP="00764B77">
            <w:pPr>
              <w:pStyle w:val="TableRowCentered"/>
              <w:jc w:val="left"/>
              <w:rPr>
                <w:b/>
                <w:sz w:val="22"/>
                <w:szCs w:val="22"/>
              </w:rPr>
            </w:pPr>
            <w:r w:rsidRPr="00764B77">
              <w:rPr>
                <w:b/>
                <w:sz w:val="22"/>
                <w:szCs w:val="22"/>
              </w:rPr>
              <w:t>The EEF Guide to Supporting School Planning: A Tiered Approach</w:t>
            </w:r>
          </w:p>
          <w:p w14:paraId="2F75AF2B" w14:textId="79B69D71" w:rsidR="00F541E3" w:rsidRPr="00ED2322" w:rsidRDefault="00FC0CF6">
            <w:pPr>
              <w:pStyle w:val="TableRowCentered"/>
              <w:jc w:val="left"/>
              <w:rPr>
                <w:color w:val="auto"/>
                <w:sz w:val="22"/>
                <w:szCs w:val="22"/>
              </w:rPr>
            </w:pPr>
            <w:hyperlink r:id="rId16" w:history="1">
              <w:r w:rsidR="00F541E3">
                <w:rPr>
                  <w:rStyle w:val="Hyperlink"/>
                </w:rPr>
                <w:t>The_EEF_guide_to_supporting_school_planning_-_A_tiered_approach_to_2021.pdf (educationendowmentfoundation.org.uk)</w:t>
              </w:r>
            </w:hyperlink>
          </w:p>
          <w:p w14:paraId="79BF2053" w14:textId="710E9490" w:rsidR="00ED2322" w:rsidRPr="00ED2322" w:rsidRDefault="00ED2322">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F695" w14:textId="148C2CED" w:rsidR="002B1148" w:rsidRPr="002B1148" w:rsidRDefault="00764B77">
            <w:pPr>
              <w:pStyle w:val="TableRowCentered"/>
              <w:jc w:val="left"/>
              <w:rPr>
                <w:sz w:val="22"/>
                <w:szCs w:val="22"/>
              </w:rPr>
            </w:pPr>
            <w:r>
              <w:rPr>
                <w:sz w:val="22"/>
                <w:szCs w:val="22"/>
              </w:rPr>
              <w:t>3</w:t>
            </w:r>
            <w:r w:rsidR="007B0C0A">
              <w:rPr>
                <w:sz w:val="22"/>
                <w:szCs w:val="22"/>
              </w:rPr>
              <w:t>/4</w:t>
            </w:r>
          </w:p>
        </w:tc>
      </w:tr>
      <w:tr w:rsidR="006B5C66" w14:paraId="214289AC"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9087" w14:textId="77777777" w:rsidR="006B5C66" w:rsidRDefault="006B5C66" w:rsidP="006B5C66">
            <w:pPr>
              <w:pStyle w:val="TableRow"/>
              <w:rPr>
                <w:sz w:val="22"/>
                <w:szCs w:val="22"/>
              </w:rPr>
            </w:pPr>
            <w:proofErr w:type="gramStart"/>
            <w:r>
              <w:rPr>
                <w:sz w:val="22"/>
                <w:szCs w:val="22"/>
              </w:rPr>
              <w:t>Havering  Professional</w:t>
            </w:r>
            <w:proofErr w:type="gramEnd"/>
            <w:r>
              <w:rPr>
                <w:sz w:val="22"/>
                <w:szCs w:val="22"/>
              </w:rPr>
              <w:t xml:space="preserve"> Development  SLA </w:t>
            </w:r>
          </w:p>
          <w:p w14:paraId="150BF43B" w14:textId="761715FC" w:rsidR="006B5C66" w:rsidRDefault="006B5C66" w:rsidP="006B5C66">
            <w:pPr>
              <w:pStyle w:val="TableRow"/>
              <w:rPr>
                <w:sz w:val="22"/>
                <w:szCs w:val="22"/>
              </w:rPr>
            </w:pP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4026" w14:textId="52D46F67" w:rsidR="006B5C66" w:rsidRPr="006A2D3A" w:rsidRDefault="006B5C66" w:rsidP="006A2D3A">
            <w:pPr>
              <w:suppressAutoHyphens w:val="0"/>
              <w:autoSpaceDN/>
              <w:spacing w:after="0" w:line="240" w:lineRule="auto"/>
              <w:rPr>
                <w:rFonts w:cs="Arial"/>
                <w:color w:val="auto"/>
                <w:sz w:val="22"/>
              </w:rPr>
            </w:pPr>
            <w:r>
              <w:rPr>
                <w:rFonts w:cs="Arial"/>
                <w:color w:val="auto"/>
                <w:sz w:val="22"/>
              </w:rPr>
              <w:t>See above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9493" w14:textId="2ABB8ABA" w:rsidR="006B5C66" w:rsidRPr="002B1148" w:rsidRDefault="00764B77">
            <w:pPr>
              <w:pStyle w:val="TableRowCentered"/>
              <w:jc w:val="left"/>
              <w:rPr>
                <w:sz w:val="22"/>
                <w:szCs w:val="22"/>
              </w:rPr>
            </w:pPr>
            <w:r>
              <w:rPr>
                <w:sz w:val="22"/>
                <w:szCs w:val="22"/>
              </w:rPr>
              <w:t>3</w:t>
            </w:r>
            <w:r w:rsidR="007B0C0A">
              <w:rPr>
                <w:sz w:val="22"/>
                <w:szCs w:val="22"/>
              </w:rPr>
              <w:t>/4</w:t>
            </w:r>
          </w:p>
        </w:tc>
      </w:tr>
      <w:tr w:rsidR="002B1148" w14:paraId="2626DCCE"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71BB9" w14:textId="252F5457" w:rsidR="002B1148" w:rsidRDefault="002B1148">
            <w:pPr>
              <w:pStyle w:val="TableRow"/>
              <w:rPr>
                <w:sz w:val="22"/>
                <w:szCs w:val="22"/>
              </w:rPr>
            </w:pPr>
            <w:r>
              <w:rPr>
                <w:sz w:val="22"/>
                <w:szCs w:val="22"/>
              </w:rPr>
              <w:t xml:space="preserve">Phonics </w:t>
            </w:r>
            <w:r w:rsidR="00BA4033">
              <w:rPr>
                <w:sz w:val="22"/>
                <w:szCs w:val="22"/>
              </w:rPr>
              <w:t>T</w:t>
            </w:r>
            <w:r>
              <w:rPr>
                <w:sz w:val="22"/>
                <w:szCs w:val="22"/>
              </w:rPr>
              <w:t xml:space="preserve">raining </w:t>
            </w:r>
            <w:r w:rsidR="00672202">
              <w:rPr>
                <w:sz w:val="22"/>
                <w:szCs w:val="22"/>
              </w:rPr>
              <w:t xml:space="preserve">for staff – use of phonics expert. Cost of expert and staff cover for bespoke training. </w:t>
            </w:r>
          </w:p>
          <w:p w14:paraId="01672F97" w14:textId="77777777" w:rsidR="00672202" w:rsidRDefault="00672202">
            <w:pPr>
              <w:pStyle w:val="TableRow"/>
              <w:rPr>
                <w:sz w:val="22"/>
                <w:szCs w:val="22"/>
              </w:rPr>
            </w:pPr>
          </w:p>
          <w:p w14:paraId="0E6D719B" w14:textId="579123CB" w:rsidR="0005345E" w:rsidRDefault="00672202" w:rsidP="0005345E">
            <w:pPr>
              <w:pStyle w:val="TableRow"/>
              <w:rPr>
                <w:sz w:val="22"/>
                <w:szCs w:val="22"/>
              </w:rPr>
            </w:pPr>
            <w:r>
              <w:rPr>
                <w:sz w:val="22"/>
                <w:szCs w:val="22"/>
              </w:rPr>
              <w:t>X3 days</w:t>
            </w:r>
            <w:r w:rsidR="00CD6BB7">
              <w:rPr>
                <w:sz w:val="22"/>
                <w:szCs w:val="22"/>
              </w:rPr>
              <w:t xml:space="preserve"> cover </w:t>
            </w:r>
          </w:p>
          <w:p w14:paraId="62C628CE" w14:textId="77E9115D" w:rsidR="009F5217" w:rsidRDefault="009F5217">
            <w:pPr>
              <w:pStyle w:val="TableRow"/>
              <w:rPr>
                <w:sz w:val="22"/>
                <w:szCs w:val="22"/>
              </w:rPr>
            </w:pP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99896" w14:textId="77777777" w:rsidR="006A2D3A" w:rsidRPr="00764B77" w:rsidRDefault="006A2D3A" w:rsidP="006A2D3A">
            <w:pPr>
              <w:suppressAutoHyphens w:val="0"/>
              <w:autoSpaceDN/>
              <w:spacing w:after="0" w:line="240" w:lineRule="auto"/>
              <w:rPr>
                <w:rFonts w:cs="Arial"/>
                <w:b/>
                <w:color w:val="auto"/>
                <w:sz w:val="22"/>
              </w:rPr>
            </w:pPr>
            <w:r w:rsidRPr="00764B77">
              <w:rPr>
                <w:rFonts w:cs="Arial"/>
                <w:b/>
                <w:color w:val="auto"/>
                <w:sz w:val="22"/>
              </w:rPr>
              <w:t xml:space="preserve">Reading Development Framework: July 2021 </w:t>
            </w:r>
          </w:p>
          <w:p w14:paraId="28BFC128" w14:textId="07055288" w:rsidR="006A2D3A" w:rsidRDefault="00FC0CF6" w:rsidP="006A2D3A">
            <w:pPr>
              <w:suppressAutoHyphens w:val="0"/>
              <w:autoSpaceDN/>
              <w:spacing w:after="0" w:line="240" w:lineRule="auto"/>
              <w:rPr>
                <w:rFonts w:cs="Arial"/>
                <w:sz w:val="22"/>
              </w:rPr>
            </w:pPr>
            <w:hyperlink w:history="1">
              <w:r w:rsidR="006A2D3A" w:rsidRPr="00540740">
                <w:rPr>
                  <w:rStyle w:val="Hyperlink"/>
                  <w:rFonts w:cs="Arial"/>
                  <w:sz w:val="22"/>
                </w:rPr>
                <w:t>The reading framework: teaching the foundations of literacy - GOV.UK (www.gov.uk)</w:t>
              </w:r>
            </w:hyperlink>
            <w:r w:rsidR="00CD6BB7">
              <w:rPr>
                <w:rFonts w:cs="Arial"/>
                <w:sz w:val="22"/>
              </w:rPr>
              <w:t xml:space="preserve"> (Section 3)</w:t>
            </w:r>
          </w:p>
          <w:p w14:paraId="19A2085B" w14:textId="78273AA3" w:rsidR="006A2D3A" w:rsidRDefault="006A2D3A" w:rsidP="006A2D3A">
            <w:pPr>
              <w:suppressAutoHyphens w:val="0"/>
              <w:autoSpaceDN/>
              <w:spacing w:after="0" w:line="240" w:lineRule="auto"/>
              <w:rPr>
                <w:rFonts w:cs="Arial"/>
                <w:color w:val="auto"/>
                <w:sz w:val="22"/>
              </w:rPr>
            </w:pPr>
          </w:p>
          <w:p w14:paraId="1401662B" w14:textId="07CFD7A8" w:rsidR="006A2D3A" w:rsidRPr="00764B77" w:rsidRDefault="00CD6BB7" w:rsidP="006A2D3A">
            <w:pPr>
              <w:suppressAutoHyphens w:val="0"/>
              <w:autoSpaceDN/>
              <w:spacing w:after="0" w:line="240" w:lineRule="auto"/>
              <w:rPr>
                <w:b/>
                <w:sz w:val="22"/>
                <w:szCs w:val="22"/>
              </w:rPr>
            </w:pPr>
            <w:r w:rsidRPr="00764B77">
              <w:rPr>
                <w:b/>
                <w:sz w:val="22"/>
                <w:szCs w:val="22"/>
              </w:rPr>
              <w:t xml:space="preserve">Jim Rose, 2006, Independent Review of Early Reading </w:t>
            </w:r>
          </w:p>
          <w:p w14:paraId="4B9108D8" w14:textId="160D24E2" w:rsidR="00CD6BB7" w:rsidRPr="00CD6BB7" w:rsidRDefault="00FC0CF6" w:rsidP="006A2D3A">
            <w:pPr>
              <w:suppressAutoHyphens w:val="0"/>
              <w:autoSpaceDN/>
              <w:spacing w:after="0" w:line="240" w:lineRule="auto"/>
              <w:rPr>
                <w:rFonts w:cs="Arial"/>
                <w:color w:val="auto"/>
              </w:rPr>
            </w:pPr>
            <w:hyperlink r:id="rId17" w:history="1">
              <w:r w:rsidR="00CD6BB7" w:rsidRPr="00CD6BB7">
                <w:rPr>
                  <w:rStyle w:val="Hyperlink"/>
                </w:rPr>
                <w:t>untitled (ioe.ac.uk)</w:t>
              </w:r>
            </w:hyperlink>
          </w:p>
          <w:p w14:paraId="636A1A8F" w14:textId="336E34E4" w:rsidR="00764B77" w:rsidRPr="00764B77" w:rsidRDefault="00764B77" w:rsidP="00764B77">
            <w:pPr>
              <w:pStyle w:val="TableRowCentered"/>
              <w:jc w:val="left"/>
              <w:rPr>
                <w:b/>
                <w:sz w:val="22"/>
                <w:szCs w:val="22"/>
              </w:rPr>
            </w:pPr>
            <w:r w:rsidRPr="00764B77">
              <w:rPr>
                <w:b/>
                <w:sz w:val="22"/>
                <w:szCs w:val="22"/>
              </w:rPr>
              <w:t xml:space="preserve">EEF: 15 Lessons Learned in the EEF’s First 6 Years </w:t>
            </w:r>
          </w:p>
          <w:p w14:paraId="3DB4AA12" w14:textId="77777777" w:rsidR="006A2D3A" w:rsidRDefault="00FC0CF6" w:rsidP="006A2D3A">
            <w:pPr>
              <w:pStyle w:val="TableRowCentered"/>
              <w:jc w:val="left"/>
            </w:pPr>
            <w:hyperlink r:id="rId18" w:history="1">
              <w:r w:rsidR="006A2D3A">
                <w:rPr>
                  <w:rStyle w:val="Hyperlink"/>
                </w:rPr>
                <w:t>EEF_Key_lessons_learned.pdf (educationendowmentfoundation.org.uk)</w:t>
              </w:r>
            </w:hyperlink>
          </w:p>
          <w:p w14:paraId="56ED4995" w14:textId="77777777" w:rsidR="006A2D3A" w:rsidRDefault="006A2D3A" w:rsidP="006A2D3A">
            <w:pPr>
              <w:pStyle w:val="TableRowCentered"/>
              <w:jc w:val="left"/>
              <w:rPr>
                <w:rFonts w:cs="Arial"/>
                <w:i/>
                <w:color w:val="263238"/>
                <w:sz w:val="22"/>
                <w:szCs w:val="22"/>
                <w:shd w:val="clear" w:color="auto" w:fill="FFFFFF"/>
              </w:rPr>
            </w:pPr>
          </w:p>
          <w:p w14:paraId="6A7F670E" w14:textId="77777777" w:rsidR="006A2D3A" w:rsidRDefault="006A2D3A" w:rsidP="00CD6BB7">
            <w:pPr>
              <w:pStyle w:val="TableRowCentered"/>
              <w:jc w:val="left"/>
              <w:rPr>
                <w:i/>
                <w:sz w:val="22"/>
                <w:szCs w:val="22"/>
              </w:rPr>
            </w:pPr>
            <w:r>
              <w:rPr>
                <w:i/>
                <w:sz w:val="22"/>
                <w:szCs w:val="22"/>
              </w:rPr>
              <w:lastRenderedPageBreak/>
              <w:t>‘</w:t>
            </w:r>
            <w:r w:rsidRPr="003F570D">
              <w:rPr>
                <w:i/>
                <w:sz w:val="22"/>
                <w:szCs w:val="22"/>
              </w:rPr>
              <w:t>Early Years education has huge promise in preventing the attainment gap becoming entrenched before children start school. However, it has not – yet – yielded as much as it should. Professional support and training for early years workers is key. Areas with potential include communication and language approaches; self</w:t>
            </w:r>
            <w:r>
              <w:rPr>
                <w:i/>
                <w:sz w:val="22"/>
                <w:szCs w:val="22"/>
              </w:rPr>
              <w:t>-</w:t>
            </w:r>
            <w:r w:rsidRPr="003F570D">
              <w:rPr>
                <w:i/>
                <w:sz w:val="22"/>
                <w:szCs w:val="22"/>
              </w:rPr>
              <w:t>regulation strategies; and parental involvement.</w:t>
            </w:r>
            <w:r>
              <w:rPr>
                <w:i/>
                <w:sz w:val="22"/>
                <w:szCs w:val="22"/>
              </w:rPr>
              <w:t>’</w:t>
            </w:r>
            <w:r w:rsidRPr="003F570D">
              <w:rPr>
                <w:i/>
                <w:sz w:val="22"/>
                <w:szCs w:val="22"/>
              </w:rPr>
              <w:t xml:space="preserve"> </w:t>
            </w:r>
          </w:p>
          <w:p w14:paraId="67184984" w14:textId="0FC743C4" w:rsidR="009324AD" w:rsidRPr="002B1148" w:rsidRDefault="009324AD" w:rsidP="00CD6BB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2F43" w14:textId="1988DB7A" w:rsidR="002B1148" w:rsidRPr="002B1148" w:rsidRDefault="00764B77">
            <w:pPr>
              <w:pStyle w:val="TableRowCentered"/>
              <w:jc w:val="left"/>
              <w:rPr>
                <w:sz w:val="22"/>
                <w:szCs w:val="22"/>
              </w:rPr>
            </w:pPr>
            <w:r>
              <w:rPr>
                <w:sz w:val="22"/>
                <w:szCs w:val="22"/>
              </w:rPr>
              <w:lastRenderedPageBreak/>
              <w:t>3</w:t>
            </w:r>
            <w:r w:rsidR="007B0C0A">
              <w:rPr>
                <w:sz w:val="22"/>
                <w:szCs w:val="22"/>
              </w:rPr>
              <w:t>/4</w:t>
            </w:r>
          </w:p>
        </w:tc>
      </w:tr>
      <w:tr w:rsidR="002B1148" w14:paraId="40DBE152"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A472" w14:textId="1E2B4367" w:rsidR="00CD6BB7" w:rsidRDefault="00CD6BB7">
            <w:pPr>
              <w:pStyle w:val="TableRow"/>
              <w:rPr>
                <w:sz w:val="22"/>
                <w:szCs w:val="22"/>
              </w:rPr>
            </w:pPr>
            <w:r>
              <w:rPr>
                <w:sz w:val="22"/>
                <w:szCs w:val="22"/>
              </w:rPr>
              <w:t xml:space="preserve">Induction for 6x </w:t>
            </w:r>
            <w:proofErr w:type="gramStart"/>
            <w:r>
              <w:rPr>
                <w:sz w:val="22"/>
                <w:szCs w:val="22"/>
              </w:rPr>
              <w:t>teachers</w:t>
            </w:r>
            <w:proofErr w:type="gramEnd"/>
            <w:r>
              <w:rPr>
                <w:sz w:val="22"/>
                <w:szCs w:val="22"/>
              </w:rPr>
              <w:t xml:space="preserve"> course (internally run Good to Great course) followed by…</w:t>
            </w:r>
          </w:p>
          <w:p w14:paraId="42DA5398" w14:textId="45DE844E" w:rsidR="00CD6BB7" w:rsidRDefault="00CD6BB7" w:rsidP="0005345E">
            <w:pPr>
              <w:pStyle w:val="TableRow"/>
              <w:rPr>
                <w:sz w:val="22"/>
                <w:szCs w:val="22"/>
              </w:rPr>
            </w:pPr>
            <w:r>
              <w:rPr>
                <w:sz w:val="22"/>
                <w:szCs w:val="22"/>
              </w:rPr>
              <w:t xml:space="preserve">4 days cover costs </w:t>
            </w:r>
          </w:p>
          <w:p w14:paraId="421832E0" w14:textId="77777777" w:rsidR="00CD6BB7" w:rsidRDefault="00CD6BB7">
            <w:pPr>
              <w:pStyle w:val="TableRow"/>
              <w:rPr>
                <w:sz w:val="22"/>
                <w:szCs w:val="22"/>
              </w:rPr>
            </w:pPr>
          </w:p>
          <w:p w14:paraId="0C3EDC9D" w14:textId="7F5B7371" w:rsidR="002B1148" w:rsidRDefault="00F034DC">
            <w:pPr>
              <w:pStyle w:val="TableRow"/>
              <w:rPr>
                <w:sz w:val="22"/>
                <w:szCs w:val="22"/>
              </w:rPr>
            </w:pPr>
            <w:r>
              <w:rPr>
                <w:sz w:val="22"/>
                <w:szCs w:val="22"/>
              </w:rPr>
              <w:t>Coaching and mentoring, team teaching and peer review work and cover arrangements</w:t>
            </w:r>
          </w:p>
          <w:p w14:paraId="3666EA17" w14:textId="048684EC" w:rsidR="00672202" w:rsidRDefault="00672202" w:rsidP="00672202">
            <w:pPr>
              <w:pStyle w:val="TableRow"/>
              <w:rPr>
                <w:sz w:val="22"/>
                <w:szCs w:val="22"/>
              </w:rPr>
            </w:pPr>
            <w:r>
              <w:rPr>
                <w:sz w:val="22"/>
                <w:szCs w:val="22"/>
              </w:rPr>
              <w:t>6 x staff mentored with 3 x mentors. Coaching training for lead x2 days</w:t>
            </w:r>
            <w:r w:rsidR="00CD6BB7">
              <w:rPr>
                <w:sz w:val="22"/>
                <w:szCs w:val="22"/>
              </w:rPr>
              <w:t xml:space="preserve"> </w:t>
            </w:r>
          </w:p>
          <w:p w14:paraId="17494F04" w14:textId="77777777" w:rsidR="006A2D3A" w:rsidRDefault="006A2D3A" w:rsidP="00672202">
            <w:pPr>
              <w:pStyle w:val="TableRow"/>
              <w:rPr>
                <w:sz w:val="22"/>
                <w:szCs w:val="22"/>
              </w:rPr>
            </w:pPr>
          </w:p>
          <w:p w14:paraId="19A90FBC" w14:textId="77777777" w:rsidR="00672202" w:rsidRDefault="00672202" w:rsidP="00672202">
            <w:pPr>
              <w:pStyle w:val="TableRow"/>
              <w:rPr>
                <w:sz w:val="22"/>
                <w:szCs w:val="22"/>
              </w:rPr>
            </w:pPr>
            <w:r>
              <w:rPr>
                <w:sz w:val="22"/>
                <w:szCs w:val="22"/>
              </w:rPr>
              <w:t>20 hours of coaching per person and cover costs for 20 hours of cover per person = 40 hours of cover per pair.</w:t>
            </w:r>
          </w:p>
          <w:p w14:paraId="6449988D" w14:textId="77777777" w:rsidR="009F5217" w:rsidRDefault="009F5217" w:rsidP="00672202">
            <w:pPr>
              <w:pStyle w:val="TableRow"/>
              <w:rPr>
                <w:sz w:val="22"/>
                <w:szCs w:val="22"/>
              </w:rPr>
            </w:pPr>
          </w:p>
          <w:p w14:paraId="232F7B5E" w14:textId="37A60A62" w:rsidR="00672202" w:rsidRDefault="00672202" w:rsidP="00672202">
            <w:pPr>
              <w:pStyle w:val="TableRow"/>
              <w:rPr>
                <w:sz w:val="22"/>
                <w:szCs w:val="22"/>
              </w:rPr>
            </w:pP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7B0E" w14:textId="5AC0411F" w:rsidR="00CD6BB7" w:rsidRPr="00764B77" w:rsidRDefault="00CD6BB7" w:rsidP="00CD6BB7">
            <w:pPr>
              <w:pStyle w:val="TableRowCentered"/>
              <w:ind w:left="0"/>
              <w:jc w:val="left"/>
              <w:rPr>
                <w:b/>
                <w:sz w:val="22"/>
                <w:szCs w:val="22"/>
              </w:rPr>
            </w:pPr>
            <w:r w:rsidRPr="00764B77">
              <w:rPr>
                <w:b/>
                <w:sz w:val="22"/>
                <w:szCs w:val="22"/>
              </w:rPr>
              <w:t>The EEF Guide to Supporting School Planning: A Tiered Approach</w:t>
            </w:r>
          </w:p>
          <w:p w14:paraId="1E99AAC5" w14:textId="77777777" w:rsidR="00CD6BB7" w:rsidRDefault="00FC0CF6" w:rsidP="00CD6BB7">
            <w:pPr>
              <w:pStyle w:val="TableRowCentered"/>
              <w:jc w:val="left"/>
            </w:pPr>
            <w:hyperlink r:id="rId19" w:history="1">
              <w:r w:rsidR="00CD6BB7">
                <w:rPr>
                  <w:rStyle w:val="Hyperlink"/>
                </w:rPr>
                <w:t>The_EEF_guide_to_supporting_school_planning_-_A_tiered_approach_to_2021.pdf (educationendowmentfoundation.org.uk)</w:t>
              </w:r>
            </w:hyperlink>
          </w:p>
          <w:p w14:paraId="08390396" w14:textId="77777777" w:rsidR="00CD6BB7" w:rsidRDefault="00CD6BB7" w:rsidP="00CD6BB7">
            <w:pPr>
              <w:pStyle w:val="TableRowCentered"/>
              <w:jc w:val="left"/>
              <w:rPr>
                <w:sz w:val="22"/>
                <w:szCs w:val="22"/>
              </w:rPr>
            </w:pPr>
          </w:p>
          <w:p w14:paraId="0E4B57EE" w14:textId="25EFCFB8" w:rsidR="00CD6BB7" w:rsidRDefault="00CD6BB7" w:rsidP="00CD6BB7">
            <w:pPr>
              <w:pStyle w:val="TableRowCentered"/>
              <w:jc w:val="left"/>
              <w:rPr>
                <w:i/>
                <w:sz w:val="22"/>
                <w:szCs w:val="22"/>
              </w:rPr>
            </w:pPr>
            <w:r w:rsidRPr="00F541E3">
              <w:rPr>
                <w:i/>
                <w:sz w:val="22"/>
                <w:szCs w:val="22"/>
              </w:rPr>
              <w:t>‘Whole-school planning that focuses on high-quality teaching requires the support factor of sustained professional development. Focused spending on improving teaching in the coming year may include training and support for early career teachers in particular.’</w:t>
            </w:r>
          </w:p>
          <w:p w14:paraId="7C0084DB" w14:textId="77777777" w:rsidR="00764B77" w:rsidRDefault="00764B77" w:rsidP="00CD6BB7">
            <w:pPr>
              <w:pStyle w:val="TableRowCentered"/>
              <w:jc w:val="left"/>
              <w:rPr>
                <w:i/>
                <w:sz w:val="22"/>
                <w:szCs w:val="22"/>
              </w:rPr>
            </w:pPr>
          </w:p>
          <w:p w14:paraId="21DDE1B6" w14:textId="59808B55" w:rsidR="002B1148" w:rsidRDefault="00764B77">
            <w:pPr>
              <w:pStyle w:val="TableRowCentered"/>
              <w:jc w:val="left"/>
              <w:rPr>
                <w:sz w:val="22"/>
                <w:szCs w:val="22"/>
              </w:rPr>
            </w:pPr>
            <w:r w:rsidRPr="00764B77">
              <w:rPr>
                <w:b/>
                <w:sz w:val="22"/>
                <w:szCs w:val="22"/>
              </w:rPr>
              <w:t>EEF: 15 Lessons Learned in the EEF’s First 6 Years</w:t>
            </w:r>
          </w:p>
          <w:p w14:paraId="63943C77" w14:textId="77777777" w:rsidR="00CD6BB7" w:rsidRDefault="00FC0CF6" w:rsidP="00CD6BB7">
            <w:pPr>
              <w:pStyle w:val="TableRowCentered"/>
              <w:jc w:val="left"/>
            </w:pPr>
            <w:hyperlink r:id="rId20" w:history="1">
              <w:r w:rsidR="00CD6BB7">
                <w:rPr>
                  <w:rStyle w:val="Hyperlink"/>
                </w:rPr>
                <w:t>EEF_Key_lessons_learned.pdf (educationendowmentfoundation.org.uk)</w:t>
              </w:r>
            </w:hyperlink>
          </w:p>
          <w:p w14:paraId="48E08230" w14:textId="77777777" w:rsidR="00CD6BB7" w:rsidRDefault="00CD6BB7" w:rsidP="00CD6BB7">
            <w:pPr>
              <w:pStyle w:val="TableRowCentered"/>
              <w:jc w:val="left"/>
              <w:rPr>
                <w:rFonts w:cs="Arial"/>
                <w:i/>
                <w:color w:val="263238"/>
                <w:sz w:val="22"/>
                <w:szCs w:val="22"/>
                <w:shd w:val="clear" w:color="auto" w:fill="FFFFFF"/>
              </w:rPr>
            </w:pPr>
            <w:r w:rsidRPr="003F570D">
              <w:rPr>
                <w:rFonts w:cs="Arial"/>
                <w:i/>
                <w:color w:val="263238"/>
                <w:sz w:val="22"/>
                <w:szCs w:val="22"/>
                <w:shd w:val="clear" w:color="auto" w:fill="FFFFFF"/>
              </w:rPr>
              <w:t>‘What happens in the classroom makes the biggest difference: improving teaching quality generally leads to greater improvements at lower cost than structural changes. There is particularly good evidence around the potential impact of teacher professional development; but the supply of high-quality training is limited.’</w:t>
            </w:r>
          </w:p>
          <w:p w14:paraId="6F9C9385" w14:textId="7C81FD43" w:rsidR="00CD6BB7" w:rsidRPr="002B1148" w:rsidRDefault="00CD6BB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555E" w14:textId="2D56BD4B" w:rsidR="002B1148" w:rsidRPr="002B1148" w:rsidRDefault="00764B77">
            <w:pPr>
              <w:pStyle w:val="TableRowCentered"/>
              <w:jc w:val="left"/>
              <w:rPr>
                <w:sz w:val="22"/>
                <w:szCs w:val="22"/>
              </w:rPr>
            </w:pPr>
            <w:r>
              <w:rPr>
                <w:sz w:val="22"/>
                <w:szCs w:val="22"/>
              </w:rPr>
              <w:t>3</w:t>
            </w:r>
            <w:r w:rsidR="007B0C0A">
              <w:rPr>
                <w:sz w:val="22"/>
                <w:szCs w:val="22"/>
              </w:rPr>
              <w:t>/4</w:t>
            </w:r>
          </w:p>
        </w:tc>
      </w:tr>
      <w:tr w:rsidR="002B1148" w14:paraId="7FF71EB0"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BC230" w14:textId="602C7118" w:rsidR="00672202" w:rsidRDefault="00943403" w:rsidP="006A2D3A">
            <w:pPr>
              <w:pStyle w:val="TableRow"/>
              <w:rPr>
                <w:sz w:val="22"/>
                <w:szCs w:val="22"/>
              </w:rPr>
            </w:pPr>
            <w:r>
              <w:rPr>
                <w:sz w:val="22"/>
                <w:szCs w:val="22"/>
              </w:rPr>
              <w:t>Additional s</w:t>
            </w:r>
            <w:r w:rsidR="00F034DC">
              <w:rPr>
                <w:sz w:val="22"/>
                <w:szCs w:val="22"/>
              </w:rPr>
              <w:t xml:space="preserve">ubject knowledge </w:t>
            </w:r>
            <w:r>
              <w:rPr>
                <w:sz w:val="22"/>
                <w:szCs w:val="22"/>
              </w:rPr>
              <w:t xml:space="preserve">and further </w:t>
            </w:r>
            <w:r w:rsidR="00F034DC">
              <w:rPr>
                <w:sz w:val="22"/>
                <w:szCs w:val="22"/>
              </w:rPr>
              <w:t xml:space="preserve">development courses for teachers and cover arrangements </w:t>
            </w:r>
          </w:p>
          <w:p w14:paraId="5BC88149" w14:textId="77777777" w:rsidR="00943403" w:rsidRDefault="00943403" w:rsidP="006A2D3A">
            <w:pPr>
              <w:pStyle w:val="TableRow"/>
              <w:rPr>
                <w:sz w:val="22"/>
                <w:szCs w:val="22"/>
              </w:rPr>
            </w:pPr>
          </w:p>
          <w:p w14:paraId="4E5FEF63" w14:textId="1EE456A8" w:rsidR="00CD6BB7" w:rsidRDefault="00943403" w:rsidP="006B5C66">
            <w:pPr>
              <w:pStyle w:val="TableRow"/>
              <w:rPr>
                <w:sz w:val="22"/>
                <w:szCs w:val="22"/>
              </w:rPr>
            </w:pPr>
            <w:r>
              <w:rPr>
                <w:sz w:val="22"/>
                <w:szCs w:val="22"/>
              </w:rPr>
              <w:t>Cost per year</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98AF" w14:textId="47216833" w:rsidR="002B1148" w:rsidRPr="002B1148" w:rsidRDefault="00943403">
            <w:pPr>
              <w:pStyle w:val="TableRowCentered"/>
              <w:jc w:val="left"/>
              <w:rPr>
                <w:sz w:val="22"/>
                <w:szCs w:val="22"/>
              </w:rPr>
            </w:pPr>
            <w:r>
              <w:rPr>
                <w:sz w:val="22"/>
                <w:szCs w:val="22"/>
              </w:rPr>
              <w:t xml:space="preserve">See above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44BF" w14:textId="7ADF6C94" w:rsidR="002B1148" w:rsidRPr="002B1148" w:rsidRDefault="00764B77">
            <w:pPr>
              <w:pStyle w:val="TableRowCentered"/>
              <w:jc w:val="left"/>
              <w:rPr>
                <w:sz w:val="22"/>
                <w:szCs w:val="22"/>
              </w:rPr>
            </w:pPr>
            <w:r>
              <w:rPr>
                <w:sz w:val="22"/>
                <w:szCs w:val="22"/>
              </w:rPr>
              <w:t>3</w:t>
            </w:r>
            <w:r w:rsidR="007B0C0A">
              <w:rPr>
                <w:sz w:val="22"/>
                <w:szCs w:val="22"/>
              </w:rPr>
              <w:t>/4</w:t>
            </w:r>
          </w:p>
        </w:tc>
      </w:tr>
      <w:tr w:rsidR="006B5C66" w14:paraId="33735596"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5BA7" w14:textId="77777777" w:rsidR="006B5C66" w:rsidRDefault="006B5C66" w:rsidP="006B5C66">
            <w:pPr>
              <w:pStyle w:val="TableRow"/>
              <w:rPr>
                <w:sz w:val="22"/>
                <w:szCs w:val="22"/>
              </w:rPr>
            </w:pPr>
            <w:r>
              <w:rPr>
                <w:sz w:val="22"/>
                <w:szCs w:val="22"/>
              </w:rPr>
              <w:lastRenderedPageBreak/>
              <w:t xml:space="preserve">Training on engagement for learning and best practice use of additional adult support </w:t>
            </w:r>
          </w:p>
          <w:p w14:paraId="5405DB0D" w14:textId="77777777" w:rsidR="006B5C66" w:rsidRDefault="006B5C66" w:rsidP="006B5C66">
            <w:pPr>
              <w:pStyle w:val="TableRow"/>
              <w:rPr>
                <w:sz w:val="22"/>
                <w:szCs w:val="22"/>
              </w:rPr>
            </w:pPr>
          </w:p>
          <w:p w14:paraId="257D82CE" w14:textId="0AF1EF4E" w:rsidR="006B5C66" w:rsidRDefault="006B5C66" w:rsidP="006B5C66">
            <w:pPr>
              <w:pStyle w:val="TableRow"/>
              <w:rPr>
                <w:sz w:val="22"/>
                <w:szCs w:val="22"/>
              </w:rPr>
            </w:pPr>
            <w:r>
              <w:rPr>
                <w:sz w:val="22"/>
                <w:szCs w:val="22"/>
              </w:rPr>
              <w:t xml:space="preserve">Employment </w:t>
            </w:r>
            <w:r w:rsidR="000C55E1">
              <w:rPr>
                <w:sz w:val="22"/>
                <w:szCs w:val="22"/>
              </w:rPr>
              <w:t xml:space="preserve">and </w:t>
            </w:r>
            <w:r w:rsidR="006349AE">
              <w:rPr>
                <w:sz w:val="22"/>
                <w:szCs w:val="22"/>
              </w:rPr>
              <w:t>inhouse</w:t>
            </w:r>
            <w:r w:rsidR="000C55E1">
              <w:rPr>
                <w:sz w:val="22"/>
                <w:szCs w:val="22"/>
              </w:rPr>
              <w:t xml:space="preserve"> training </w:t>
            </w:r>
            <w:r>
              <w:rPr>
                <w:sz w:val="22"/>
                <w:szCs w:val="22"/>
              </w:rPr>
              <w:t xml:space="preserve">of Teaching Assistants </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E3FA" w14:textId="77777777" w:rsidR="006B5C66" w:rsidRPr="00764B77" w:rsidRDefault="006B5C66" w:rsidP="006B5C66">
            <w:pPr>
              <w:pStyle w:val="TableRowCentered"/>
              <w:jc w:val="left"/>
              <w:rPr>
                <w:b/>
                <w:sz w:val="22"/>
                <w:szCs w:val="22"/>
              </w:rPr>
            </w:pPr>
            <w:r w:rsidRPr="00764B77">
              <w:rPr>
                <w:b/>
                <w:sz w:val="22"/>
                <w:szCs w:val="22"/>
              </w:rPr>
              <w:t>Maximising the Impact of Teaching Assistants (MITA)</w:t>
            </w:r>
          </w:p>
          <w:p w14:paraId="3866DFF0" w14:textId="77777777" w:rsidR="006B5C66" w:rsidRDefault="00FC0CF6" w:rsidP="006B5C66">
            <w:pPr>
              <w:pStyle w:val="TableRowCentered"/>
              <w:jc w:val="left"/>
              <w:rPr>
                <w:sz w:val="22"/>
                <w:szCs w:val="22"/>
              </w:rPr>
            </w:pPr>
            <w:hyperlink r:id="rId21" w:history="1">
              <w:r w:rsidR="006B5C66">
                <w:rPr>
                  <w:rStyle w:val="Hyperlink"/>
                </w:rPr>
                <w:t>Impact (maximisingtas.co.uk)</w:t>
              </w:r>
            </w:hyperlink>
          </w:p>
          <w:p w14:paraId="5DA9C62A" w14:textId="39D3A2FD" w:rsidR="006B5C66" w:rsidRDefault="006B5C66" w:rsidP="006B5C66">
            <w:pPr>
              <w:pStyle w:val="Heading3"/>
              <w:shd w:val="clear" w:color="auto" w:fill="FFFFFF"/>
              <w:spacing w:before="0" w:after="300"/>
              <w:rPr>
                <w:rFonts w:cs="Arial"/>
                <w:b w:val="0"/>
                <w:i/>
                <w:color w:val="auto"/>
                <w:sz w:val="22"/>
                <w:szCs w:val="22"/>
              </w:rPr>
            </w:pPr>
            <w:r w:rsidRPr="00612B21">
              <w:rPr>
                <w:rFonts w:cs="Arial"/>
                <w:b w:val="0"/>
                <w:i/>
                <w:color w:val="auto"/>
                <w:sz w:val="22"/>
                <w:szCs w:val="22"/>
              </w:rPr>
              <w:t>An independent evaluation has found that schools that undertook the MITA programme improved how TAs were deployed and prepared for their classroom roles, and that participation in MITA was associated with a positive impact in terms of pupil engagement.</w:t>
            </w:r>
          </w:p>
          <w:p w14:paraId="0720A64B" w14:textId="7B8CC947" w:rsidR="00764B77" w:rsidRDefault="00764B77" w:rsidP="00764B77">
            <w:r>
              <w:t xml:space="preserve">And </w:t>
            </w:r>
          </w:p>
          <w:p w14:paraId="63129F54" w14:textId="0DC76B0A" w:rsidR="00764B77" w:rsidRPr="007B0C0A" w:rsidRDefault="00764B77" w:rsidP="00764B77">
            <w:pPr>
              <w:rPr>
                <w:i/>
                <w:color w:val="auto"/>
              </w:rPr>
            </w:pPr>
            <w:r w:rsidRPr="007B0C0A">
              <w:rPr>
                <w:rFonts w:cs="Arial"/>
                <w:i/>
                <w:color w:val="auto"/>
                <w:sz w:val="22"/>
                <w:szCs w:val="22"/>
                <w:shd w:val="clear" w:color="auto" w:fill="FFFFFF"/>
              </w:rPr>
              <w:t>Teacher surveys reported that pupil independence improved, and that TAs had a significant or mostly positive impact on this.</w:t>
            </w:r>
          </w:p>
          <w:p w14:paraId="650BAB98" w14:textId="3AF5BC8C" w:rsidR="006B5C66" w:rsidRDefault="006B5C66" w:rsidP="006B5C66">
            <w:r w:rsidRPr="00764B77">
              <w:rPr>
                <w:b/>
                <w:sz w:val="22"/>
                <w:szCs w:val="22"/>
              </w:rPr>
              <w:t>EEF: Teaching and Learning Toolkit</w:t>
            </w:r>
            <w:r w:rsidRPr="00F541E3">
              <w:rPr>
                <w:sz w:val="22"/>
                <w:szCs w:val="22"/>
              </w:rPr>
              <w:t xml:space="preserve"> </w:t>
            </w:r>
            <w:hyperlink r:id="rId22" w:history="1">
              <w:r>
                <w:rPr>
                  <w:rStyle w:val="Hyperlink"/>
                </w:rPr>
                <w:t>Teaching Assistant Interventions | EEF (educationendowmentfoundation.org.uk)</w:t>
              </w:r>
            </w:hyperlink>
          </w:p>
          <w:p w14:paraId="0BC2E23B" w14:textId="5824CBF8" w:rsidR="006B5C66" w:rsidRDefault="00764B77" w:rsidP="00764B77">
            <w:pPr>
              <w:rPr>
                <w:sz w:val="22"/>
                <w:szCs w:val="22"/>
              </w:rPr>
            </w:pPr>
            <w:r w:rsidRPr="00764B77">
              <w:rPr>
                <w:b/>
                <w:sz w:val="22"/>
                <w:szCs w:val="22"/>
              </w:rPr>
              <w:t>EEF: 15 Lessons Learned in the EEF’s First 6 Years</w:t>
            </w:r>
            <w:r>
              <w:rPr>
                <w:b/>
                <w:sz w:val="22"/>
                <w:szCs w:val="22"/>
              </w:rPr>
              <w:t xml:space="preserve"> </w:t>
            </w:r>
            <w:hyperlink r:id="rId23" w:history="1">
              <w:r w:rsidR="006B5C66">
                <w:rPr>
                  <w:rStyle w:val="Hyperlink"/>
                </w:rPr>
                <w:t>EEF_Key_lessons_learned.pdf (educationendowmentfoundation.org.uk)</w:t>
              </w:r>
            </w:hyperlink>
          </w:p>
          <w:p w14:paraId="5B0FDF91" w14:textId="4E6D9626" w:rsidR="006B5C66" w:rsidRPr="002B1148" w:rsidRDefault="006B5C66" w:rsidP="006B5C66">
            <w:pPr>
              <w:pStyle w:val="TableRowCentered"/>
              <w:jc w:val="left"/>
              <w:rPr>
                <w:sz w:val="22"/>
                <w:szCs w:val="22"/>
              </w:rPr>
            </w:pPr>
            <w:r w:rsidRPr="00612B21">
              <w:rPr>
                <w:i/>
                <w:sz w:val="22"/>
                <w:szCs w:val="22"/>
              </w:rPr>
              <w:t>Though previous research had suggested that teaching assistants can have a negative impact on children’s learning, EEF trials have shown how, when properly trained and supported, teaching assistants working in structured ways with small groups can boost pupils’ progress.</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0A980" w14:textId="64C4F79C" w:rsidR="006B5C66" w:rsidRPr="002B1148" w:rsidRDefault="00764B77" w:rsidP="006B5C66">
            <w:pPr>
              <w:pStyle w:val="TableRowCentered"/>
              <w:jc w:val="left"/>
              <w:rPr>
                <w:sz w:val="22"/>
                <w:szCs w:val="22"/>
              </w:rPr>
            </w:pPr>
            <w:r>
              <w:rPr>
                <w:sz w:val="22"/>
                <w:szCs w:val="22"/>
              </w:rPr>
              <w:t>3/4</w:t>
            </w:r>
          </w:p>
        </w:tc>
      </w:tr>
      <w:tr w:rsidR="002B1148" w14:paraId="3AAF5B77" w14:textId="77777777" w:rsidTr="006B5C66">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1BB9" w14:textId="77777777" w:rsidR="00943403" w:rsidRDefault="00943403" w:rsidP="00943403">
            <w:pPr>
              <w:pStyle w:val="TableRow"/>
              <w:rPr>
                <w:sz w:val="22"/>
                <w:szCs w:val="22"/>
              </w:rPr>
            </w:pPr>
            <w:r>
              <w:rPr>
                <w:sz w:val="22"/>
                <w:szCs w:val="22"/>
              </w:rPr>
              <w:t>Retention and Specialist Teaching</w:t>
            </w:r>
          </w:p>
          <w:p w14:paraId="5880269B" w14:textId="5A168DF5" w:rsidR="00943403" w:rsidRDefault="00943403" w:rsidP="00943403">
            <w:pPr>
              <w:pStyle w:val="TableRow"/>
              <w:rPr>
                <w:sz w:val="22"/>
                <w:szCs w:val="22"/>
              </w:rPr>
            </w:pPr>
            <w:r>
              <w:rPr>
                <w:sz w:val="22"/>
                <w:szCs w:val="22"/>
              </w:rPr>
              <w:t>Cost</w:t>
            </w:r>
            <w:r w:rsidR="00D95D98">
              <w:rPr>
                <w:sz w:val="22"/>
                <w:szCs w:val="22"/>
              </w:rPr>
              <w:t xml:space="preserve">s </w:t>
            </w:r>
            <w:r>
              <w:rPr>
                <w:sz w:val="22"/>
                <w:szCs w:val="22"/>
              </w:rPr>
              <w:t xml:space="preserve"> </w:t>
            </w:r>
          </w:p>
          <w:p w14:paraId="47F39965" w14:textId="77777777" w:rsidR="00943403" w:rsidRDefault="00943403" w:rsidP="00943403">
            <w:pPr>
              <w:pStyle w:val="TableRow"/>
              <w:rPr>
                <w:sz w:val="22"/>
                <w:szCs w:val="22"/>
              </w:rPr>
            </w:pPr>
          </w:p>
          <w:p w14:paraId="65F8311B" w14:textId="77777777" w:rsidR="00943403" w:rsidRDefault="00943403" w:rsidP="00943403">
            <w:pPr>
              <w:pStyle w:val="TableRow"/>
              <w:rPr>
                <w:sz w:val="22"/>
                <w:szCs w:val="22"/>
              </w:rPr>
            </w:pPr>
            <w:r>
              <w:rPr>
                <w:sz w:val="22"/>
                <w:szCs w:val="22"/>
              </w:rPr>
              <w:t xml:space="preserve">Music Enrichment </w:t>
            </w:r>
          </w:p>
          <w:p w14:paraId="15325F85" w14:textId="77777777" w:rsidR="006B5C66" w:rsidRDefault="00943403" w:rsidP="00943403">
            <w:pPr>
              <w:pStyle w:val="TableRow"/>
              <w:rPr>
                <w:sz w:val="22"/>
                <w:szCs w:val="22"/>
              </w:rPr>
            </w:pPr>
            <w:r>
              <w:rPr>
                <w:sz w:val="22"/>
                <w:szCs w:val="22"/>
              </w:rPr>
              <w:t>£3500 per term</w:t>
            </w:r>
          </w:p>
          <w:p w14:paraId="466134D5" w14:textId="6F631F21" w:rsidR="00943403" w:rsidRDefault="006B5C66" w:rsidP="00943403">
            <w:pPr>
              <w:pStyle w:val="TableRow"/>
              <w:rPr>
                <w:sz w:val="22"/>
                <w:szCs w:val="22"/>
              </w:rPr>
            </w:pPr>
            <w:r>
              <w:rPr>
                <w:sz w:val="22"/>
                <w:szCs w:val="22"/>
              </w:rPr>
              <w:t xml:space="preserve">(2021 summer term costs only) </w:t>
            </w:r>
            <w:r w:rsidR="00943403">
              <w:rPr>
                <w:sz w:val="22"/>
                <w:szCs w:val="22"/>
              </w:rPr>
              <w:t xml:space="preserve"> </w:t>
            </w:r>
          </w:p>
        </w:tc>
        <w:tc>
          <w:tcPr>
            <w:tcW w:w="6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970D" w14:textId="77777777" w:rsidR="006B5C66" w:rsidRPr="00764B77" w:rsidRDefault="006B5C66" w:rsidP="006B5C66">
            <w:pPr>
              <w:pStyle w:val="TableRowCentered"/>
              <w:ind w:left="0"/>
              <w:jc w:val="left"/>
              <w:rPr>
                <w:b/>
                <w:sz w:val="22"/>
                <w:szCs w:val="22"/>
              </w:rPr>
            </w:pPr>
            <w:r w:rsidRPr="00764B77">
              <w:rPr>
                <w:b/>
                <w:sz w:val="22"/>
                <w:szCs w:val="22"/>
              </w:rPr>
              <w:t>The EEF Guide to Supporting School Planning: A Tiered Approach</w:t>
            </w:r>
          </w:p>
          <w:p w14:paraId="7A3AC4EE" w14:textId="77777777" w:rsidR="006B5C66" w:rsidRDefault="00FC0CF6" w:rsidP="006B5C66">
            <w:pPr>
              <w:pStyle w:val="TableRowCentered"/>
              <w:jc w:val="left"/>
            </w:pPr>
            <w:hyperlink r:id="rId24" w:history="1">
              <w:r w:rsidR="006B5C66">
                <w:rPr>
                  <w:rStyle w:val="Hyperlink"/>
                </w:rPr>
                <w:t>The_EEF_guide_to_supporting_school_planning_-_A_tiered_approach_to_2021.pdf (educationendowmentfoundation.org.uk)</w:t>
              </w:r>
            </w:hyperlink>
          </w:p>
          <w:p w14:paraId="3BA1DE5D" w14:textId="77777777" w:rsidR="006B5C66" w:rsidRDefault="006B5C66" w:rsidP="006B5C66">
            <w:pPr>
              <w:pStyle w:val="TableRowCentered"/>
              <w:jc w:val="left"/>
              <w:rPr>
                <w:sz w:val="22"/>
                <w:szCs w:val="22"/>
              </w:rPr>
            </w:pPr>
          </w:p>
          <w:p w14:paraId="4BDC7206" w14:textId="40EE4A30" w:rsidR="006B5C66" w:rsidRDefault="006B5C66" w:rsidP="006B5C66">
            <w:pPr>
              <w:pStyle w:val="TableRowCentered"/>
              <w:jc w:val="left"/>
              <w:rPr>
                <w:i/>
                <w:sz w:val="22"/>
                <w:szCs w:val="22"/>
              </w:rPr>
            </w:pPr>
            <w:r w:rsidRPr="00F541E3">
              <w:rPr>
                <w:i/>
                <w:sz w:val="22"/>
                <w:szCs w:val="22"/>
              </w:rPr>
              <w:t>‘Whole-school planning that focuses on high-quality teaching requires the support factor of sustained professional development. Focused spending on improving teaching in the coming year may include training and support for early career teachers in particular.’</w:t>
            </w:r>
          </w:p>
          <w:p w14:paraId="10A0F4FF" w14:textId="77777777" w:rsidR="00764B77" w:rsidRDefault="00764B77" w:rsidP="006B5C66">
            <w:pPr>
              <w:pStyle w:val="TableRowCentered"/>
              <w:jc w:val="left"/>
              <w:rPr>
                <w:i/>
                <w:sz w:val="22"/>
                <w:szCs w:val="22"/>
              </w:rPr>
            </w:pPr>
          </w:p>
          <w:p w14:paraId="630F1AA8" w14:textId="16B1E015" w:rsidR="006B5C66" w:rsidRDefault="00764B77" w:rsidP="006B5C66">
            <w:pPr>
              <w:pStyle w:val="TableRowCentered"/>
              <w:jc w:val="left"/>
              <w:rPr>
                <w:sz w:val="22"/>
                <w:szCs w:val="22"/>
              </w:rPr>
            </w:pPr>
            <w:r w:rsidRPr="00764B77">
              <w:rPr>
                <w:b/>
                <w:sz w:val="22"/>
                <w:szCs w:val="22"/>
              </w:rPr>
              <w:t>EEF: 15 Lessons Learned in the EEF’s First 6 Years</w:t>
            </w:r>
          </w:p>
          <w:p w14:paraId="557E8E00" w14:textId="77777777" w:rsidR="006B5C66" w:rsidRDefault="00FC0CF6" w:rsidP="006B5C66">
            <w:pPr>
              <w:pStyle w:val="TableRowCentered"/>
              <w:jc w:val="left"/>
            </w:pPr>
            <w:hyperlink r:id="rId25" w:history="1">
              <w:r w:rsidR="006B5C66">
                <w:rPr>
                  <w:rStyle w:val="Hyperlink"/>
                </w:rPr>
                <w:t>EEF_Key_lessons_learned.pdf (educationendowmentfoundation.org.uk)</w:t>
              </w:r>
            </w:hyperlink>
          </w:p>
          <w:p w14:paraId="731A7036" w14:textId="77777777" w:rsidR="006B5C66" w:rsidRDefault="006B5C66" w:rsidP="006B5C66">
            <w:pPr>
              <w:pStyle w:val="TableRowCentered"/>
              <w:jc w:val="left"/>
              <w:rPr>
                <w:rFonts w:cs="Arial"/>
                <w:i/>
                <w:color w:val="263238"/>
                <w:sz w:val="22"/>
                <w:szCs w:val="22"/>
                <w:shd w:val="clear" w:color="auto" w:fill="FFFFFF"/>
              </w:rPr>
            </w:pPr>
            <w:r w:rsidRPr="003F570D">
              <w:rPr>
                <w:rFonts w:cs="Arial"/>
                <w:i/>
                <w:color w:val="263238"/>
                <w:sz w:val="22"/>
                <w:szCs w:val="22"/>
                <w:shd w:val="clear" w:color="auto" w:fill="FFFFFF"/>
              </w:rPr>
              <w:t>‘What happens in the classroom makes the biggest difference: improving teaching quality generally leads to greater improvements at lower cost than structural changes. There is particularly good evidence around the potential impact of teacher professional development; but the supply of high-quality training is limited.’</w:t>
            </w:r>
          </w:p>
          <w:p w14:paraId="1A34A2A0" w14:textId="4797DFD5" w:rsidR="002B1148" w:rsidRPr="002B1148" w:rsidRDefault="002B1148">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A665" w14:textId="0D32BEDC" w:rsidR="002B1148" w:rsidRPr="002B1148" w:rsidRDefault="00764B77">
            <w:pPr>
              <w:pStyle w:val="TableRowCentered"/>
              <w:jc w:val="left"/>
              <w:rPr>
                <w:sz w:val="22"/>
                <w:szCs w:val="22"/>
              </w:rPr>
            </w:pPr>
            <w:r>
              <w:rPr>
                <w:sz w:val="22"/>
                <w:szCs w:val="22"/>
              </w:rPr>
              <w:t>3</w:t>
            </w:r>
            <w:r w:rsidR="007B0C0A">
              <w:rPr>
                <w:sz w:val="22"/>
                <w:szCs w:val="22"/>
              </w:rPr>
              <w:t>/4</w:t>
            </w:r>
          </w:p>
        </w:tc>
      </w:tr>
    </w:tbl>
    <w:p w14:paraId="6A63BFF0" w14:textId="77777777" w:rsidR="009324AD" w:rsidRDefault="009324AD">
      <w:pPr>
        <w:rPr>
          <w:b/>
          <w:bCs/>
          <w:color w:val="104F75"/>
          <w:sz w:val="28"/>
          <w:szCs w:val="28"/>
        </w:rPr>
      </w:pPr>
    </w:p>
    <w:p w14:paraId="2A7D5523" w14:textId="77E013C7"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D77FD1E" w:rsidR="00E66558" w:rsidRDefault="009D71E8">
      <w:r>
        <w:t>Budgeted cost</w:t>
      </w:r>
      <w:r w:rsidR="00CF220B">
        <w:t xml:space="preserve"> (</w:t>
      </w:r>
      <w:r w:rsidR="00CF220B" w:rsidRPr="00CF220B">
        <w:rPr>
          <w:b/>
        </w:rPr>
        <w:t>INCLUDING CATCH UP FUNDING OF £22,185</w:t>
      </w:r>
      <w:r w:rsidR="00CF220B">
        <w:t>)</w:t>
      </w:r>
      <w:r>
        <w:t xml:space="preserve">: </w:t>
      </w:r>
      <w:r w:rsidRPr="00D95D98">
        <w:rPr>
          <w:b/>
        </w:rPr>
        <w:t>£</w:t>
      </w:r>
      <w:r w:rsidR="0005345E" w:rsidRPr="00D95D98">
        <w:rPr>
          <w:b/>
        </w:rPr>
        <w:t>157,000</w:t>
      </w:r>
    </w:p>
    <w:tbl>
      <w:tblPr>
        <w:tblW w:w="5000" w:type="pct"/>
        <w:tblCellMar>
          <w:left w:w="10" w:type="dxa"/>
          <w:right w:w="10" w:type="dxa"/>
        </w:tblCellMar>
        <w:tblLook w:val="04A0" w:firstRow="1" w:lastRow="0" w:firstColumn="1" w:lastColumn="0" w:noHBand="0" w:noVBand="1"/>
      </w:tblPr>
      <w:tblGrid>
        <w:gridCol w:w="2686"/>
        <w:gridCol w:w="5669"/>
        <w:gridCol w:w="1131"/>
      </w:tblGrid>
      <w:tr w:rsidR="00E66558" w14:paraId="2A7D5528" w14:textId="77777777" w:rsidTr="006C0646">
        <w:tc>
          <w:tcPr>
            <w:tcW w:w="2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A2D3A" w:rsidRDefault="009D71E8">
            <w:pPr>
              <w:pStyle w:val="TableHeader"/>
              <w:jc w:val="left"/>
              <w:rPr>
                <w:sz w:val="16"/>
                <w:szCs w:val="16"/>
              </w:rPr>
            </w:pPr>
            <w:r w:rsidRPr="006A2D3A">
              <w:rPr>
                <w:sz w:val="16"/>
                <w:szCs w:val="16"/>
              </w:rPr>
              <w:t>Challenge number(s) addressed</w:t>
            </w:r>
          </w:p>
        </w:tc>
      </w:tr>
      <w:tr w:rsidR="006F3E37" w14:paraId="2A7D552C" w14:textId="77777777" w:rsidTr="006C0646">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8D5CF9" w:rsidR="006F3E37" w:rsidRPr="00211373" w:rsidRDefault="006F3E37" w:rsidP="006C0646">
            <w:pPr>
              <w:pStyle w:val="TableRow"/>
              <w:rPr>
                <w:sz w:val="22"/>
                <w:szCs w:val="22"/>
              </w:rPr>
            </w:pPr>
            <w:r w:rsidRPr="00211373">
              <w:rPr>
                <w:sz w:val="22"/>
                <w:szCs w:val="22"/>
              </w:rPr>
              <w:t>NTP small group tutoring x 15 session blocks for year 6 – over 3 tranches</w:t>
            </w:r>
            <w:r>
              <w:rPr>
                <w:sz w:val="22"/>
                <w:szCs w:val="22"/>
              </w:rPr>
              <w:t xml:space="preserve"> for reading </w:t>
            </w:r>
          </w:p>
        </w:tc>
        <w:tc>
          <w:tcPr>
            <w:tcW w:w="566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A5EC3A" w14:textId="5B7B2425" w:rsidR="006F3E37" w:rsidRPr="00764B77" w:rsidRDefault="006F3E37">
            <w:pPr>
              <w:pStyle w:val="TableRowCentered"/>
              <w:jc w:val="left"/>
              <w:rPr>
                <w:b/>
                <w:sz w:val="22"/>
                <w:szCs w:val="22"/>
              </w:rPr>
            </w:pPr>
            <w:r w:rsidRPr="00764B77">
              <w:rPr>
                <w:b/>
                <w:sz w:val="22"/>
                <w:szCs w:val="22"/>
              </w:rPr>
              <w:t>Tutor Trust: Affordable Primary Tuition Evaluation Report and Exec Summary (Nov 201, Durham University)</w:t>
            </w:r>
          </w:p>
          <w:p w14:paraId="2A327718" w14:textId="77777777" w:rsidR="006F3E37" w:rsidRDefault="00FC0CF6">
            <w:pPr>
              <w:pStyle w:val="TableRowCentered"/>
              <w:jc w:val="left"/>
            </w:pPr>
            <w:hyperlink r:id="rId26" w:history="1">
              <w:r w:rsidR="006F3E37">
                <w:rPr>
                  <w:rStyle w:val="Hyperlink"/>
                </w:rPr>
                <w:t>26952.pdf (dur.ac.uk)</w:t>
              </w:r>
            </w:hyperlink>
          </w:p>
          <w:p w14:paraId="08F8CCDF" w14:textId="77777777" w:rsidR="006F3E37" w:rsidRDefault="006F3E37">
            <w:pPr>
              <w:pStyle w:val="TableRowCentered"/>
              <w:jc w:val="left"/>
              <w:rPr>
                <w:sz w:val="22"/>
                <w:szCs w:val="22"/>
              </w:rPr>
            </w:pPr>
          </w:p>
          <w:p w14:paraId="43878538" w14:textId="3962094B" w:rsidR="006F3E37" w:rsidRPr="00764B77" w:rsidRDefault="006F3E37">
            <w:pPr>
              <w:pStyle w:val="TableRowCentered"/>
              <w:jc w:val="left"/>
              <w:rPr>
                <w:b/>
                <w:sz w:val="22"/>
                <w:szCs w:val="22"/>
              </w:rPr>
            </w:pPr>
            <w:r w:rsidRPr="00764B77">
              <w:rPr>
                <w:b/>
                <w:sz w:val="22"/>
                <w:szCs w:val="22"/>
              </w:rPr>
              <w:t>The EEF Teaching and Learning Toolkit</w:t>
            </w:r>
          </w:p>
          <w:p w14:paraId="010B6648" w14:textId="08FB4695" w:rsidR="006F3E37" w:rsidRDefault="00FC0CF6">
            <w:pPr>
              <w:pStyle w:val="TableRowCentered"/>
              <w:jc w:val="left"/>
            </w:pPr>
            <w:hyperlink r:id="rId27" w:history="1">
              <w:r w:rsidR="006F3E37">
                <w:rPr>
                  <w:rStyle w:val="Hyperlink"/>
                </w:rPr>
                <w:t>Teaching and Learning Toolkit | EEF (educationendowmentfoundation.org.uk)</w:t>
              </w:r>
            </w:hyperlink>
          </w:p>
          <w:p w14:paraId="722221B9" w14:textId="270C463E" w:rsidR="006F3E37" w:rsidRDefault="006F3E37">
            <w:pPr>
              <w:pStyle w:val="TableRowCentered"/>
              <w:jc w:val="left"/>
              <w:rPr>
                <w:i/>
                <w:sz w:val="22"/>
                <w:szCs w:val="22"/>
              </w:rPr>
            </w:pPr>
            <w:r w:rsidRPr="006C0646">
              <w:rPr>
                <w:i/>
                <w:sz w:val="22"/>
                <w:szCs w:val="22"/>
              </w:rPr>
              <w:t>Targeted small group and one-to-one interventions have the potential for the largest immediate impact on attainment. Some whole</w:t>
            </w:r>
            <w:r>
              <w:rPr>
                <w:i/>
                <w:sz w:val="22"/>
                <w:szCs w:val="22"/>
              </w:rPr>
              <w:t>-</w:t>
            </w:r>
            <w:r w:rsidRPr="006C0646">
              <w:rPr>
                <w:i/>
                <w:sz w:val="22"/>
                <w:szCs w:val="22"/>
              </w:rPr>
              <w:t>class and whole-school interventions have shown promise but may take longer to show results</w:t>
            </w:r>
          </w:p>
          <w:p w14:paraId="59BA40E1" w14:textId="5957F05F" w:rsidR="006F3E37" w:rsidRDefault="006F3E37">
            <w:pPr>
              <w:pStyle w:val="TableRowCentered"/>
              <w:jc w:val="left"/>
              <w:rPr>
                <w:i/>
                <w:sz w:val="22"/>
                <w:szCs w:val="22"/>
              </w:rPr>
            </w:pPr>
          </w:p>
          <w:p w14:paraId="1DAD5749" w14:textId="28ACD156" w:rsidR="006F3E37" w:rsidRDefault="00FC0CF6">
            <w:pPr>
              <w:pStyle w:val="TableRowCentered"/>
              <w:jc w:val="left"/>
            </w:pPr>
            <w:hyperlink r:id="rId28" w:history="1">
              <w:r w:rsidR="006F3E37">
                <w:rPr>
                  <w:rStyle w:val="Hyperlink"/>
                </w:rPr>
                <w:t>One to one tuition | EEF (educationendowmentfoundation.org.uk)</w:t>
              </w:r>
            </w:hyperlink>
          </w:p>
          <w:p w14:paraId="08E7A211" w14:textId="44B9FA8A" w:rsidR="006F3E37" w:rsidRDefault="006F3E37">
            <w:pPr>
              <w:pStyle w:val="TableRowCentered"/>
              <w:jc w:val="left"/>
              <w:rPr>
                <w:i/>
                <w:sz w:val="22"/>
                <w:szCs w:val="22"/>
              </w:rPr>
            </w:pPr>
            <w:r>
              <w:rPr>
                <w:i/>
                <w:sz w:val="22"/>
                <w:szCs w:val="22"/>
              </w:rPr>
              <w:t>and</w:t>
            </w:r>
          </w:p>
          <w:p w14:paraId="13875610" w14:textId="230441EF" w:rsidR="006F3E37" w:rsidRPr="006C0646" w:rsidRDefault="00FC0CF6">
            <w:pPr>
              <w:pStyle w:val="TableRowCentered"/>
              <w:jc w:val="left"/>
              <w:rPr>
                <w:i/>
                <w:sz w:val="22"/>
                <w:szCs w:val="22"/>
              </w:rPr>
            </w:pPr>
            <w:hyperlink r:id="rId29" w:history="1">
              <w:r w:rsidR="006F3E37">
                <w:rPr>
                  <w:rStyle w:val="Hyperlink"/>
                </w:rPr>
                <w:t>Small group tuition | EEF (educationendowmentfoundation.org.uk)</w:t>
              </w:r>
            </w:hyperlink>
          </w:p>
          <w:p w14:paraId="104C1255" w14:textId="73F37A6D" w:rsidR="006F3E37" w:rsidRDefault="006F3E37">
            <w:pPr>
              <w:pStyle w:val="TableRowCentered"/>
              <w:jc w:val="left"/>
              <w:rPr>
                <w:rFonts w:cs="Arial"/>
                <w:i/>
                <w:color w:val="auto"/>
                <w:sz w:val="22"/>
                <w:szCs w:val="22"/>
                <w:shd w:val="clear" w:color="auto" w:fill="FAFAFA"/>
              </w:rPr>
            </w:pPr>
            <w:r w:rsidRPr="007B0C0A">
              <w:rPr>
                <w:rFonts w:cs="Arial"/>
                <w:i/>
                <w:color w:val="auto"/>
                <w:sz w:val="22"/>
                <w:szCs w:val="22"/>
                <w:shd w:val="clear" w:color="auto" w:fill="FAFAFA"/>
              </w:rPr>
              <w:t>One to one tuition and small group tuition are both effective interventions. However, the cost effectiveness of teaching in small groups indicates that greater use of this approach may be worthwhile.</w:t>
            </w:r>
          </w:p>
          <w:p w14:paraId="5EAC9E35" w14:textId="77777777" w:rsidR="006F3E37" w:rsidRPr="007B0C0A" w:rsidRDefault="006F3E37">
            <w:pPr>
              <w:pStyle w:val="TableRowCentered"/>
              <w:jc w:val="left"/>
              <w:rPr>
                <w:rFonts w:cs="Arial"/>
                <w:i/>
                <w:color w:val="auto"/>
                <w:sz w:val="22"/>
                <w:szCs w:val="22"/>
              </w:rPr>
            </w:pPr>
          </w:p>
          <w:p w14:paraId="0AA6E30C" w14:textId="3B22A8C4" w:rsidR="006F3E37" w:rsidRPr="00764B77" w:rsidRDefault="006F3E37">
            <w:pPr>
              <w:pStyle w:val="TableRowCentered"/>
              <w:jc w:val="left"/>
              <w:rPr>
                <w:b/>
                <w:sz w:val="22"/>
                <w:szCs w:val="22"/>
              </w:rPr>
            </w:pPr>
            <w:r w:rsidRPr="00764B77">
              <w:rPr>
                <w:b/>
                <w:sz w:val="22"/>
                <w:szCs w:val="22"/>
              </w:rPr>
              <w:t xml:space="preserve">Literacy and Life Expectancy (Feb 2018, National Literacy Trust) </w:t>
            </w:r>
          </w:p>
          <w:p w14:paraId="5A11F086" w14:textId="584FD06A" w:rsidR="006F3E37" w:rsidRPr="006C0646" w:rsidRDefault="00FC0CF6" w:rsidP="006C0646">
            <w:pPr>
              <w:pStyle w:val="TableRowCentered"/>
              <w:jc w:val="left"/>
              <w:rPr>
                <w:sz w:val="22"/>
                <w:szCs w:val="22"/>
              </w:rPr>
            </w:pPr>
            <w:hyperlink r:id="rId30" w:history="1">
              <w:r w:rsidR="006F3E37">
                <w:rPr>
                  <w:rStyle w:val="Hyperlink"/>
                </w:rPr>
                <w:t>Literacy and life expectancy | National Literacy Trust</w:t>
              </w:r>
            </w:hyperlink>
            <w:r w:rsidR="006F3E37">
              <w:t xml:space="preserve"> </w:t>
            </w:r>
            <w:r w:rsidR="006F3E37" w:rsidRPr="006C0646">
              <w:rPr>
                <w:rFonts w:ascii="Helvetica" w:hAnsi="Helvetica" w:cs="Helvetica"/>
                <w:i/>
                <w:color w:val="auto"/>
                <w:sz w:val="22"/>
                <w:szCs w:val="22"/>
              </w:rPr>
              <w:t>The report found that children born into communities with the most serious literacy challenges have some of the lowest life expectancies in England:</w:t>
            </w:r>
          </w:p>
          <w:p w14:paraId="7D4538F7" w14:textId="77777777" w:rsidR="006F3E37" w:rsidRPr="006C0646" w:rsidRDefault="006F3E37" w:rsidP="006C0646">
            <w:pPr>
              <w:numPr>
                <w:ilvl w:val="0"/>
                <w:numId w:val="18"/>
              </w:numPr>
              <w:shd w:val="clear" w:color="auto" w:fill="FFFFFF"/>
              <w:suppressAutoHyphens w:val="0"/>
              <w:autoSpaceDN/>
              <w:spacing w:before="100" w:beforeAutospacing="1" w:after="225" w:line="240" w:lineRule="auto"/>
              <w:rPr>
                <w:rFonts w:ascii="Helvetica" w:hAnsi="Helvetica" w:cs="Helvetica"/>
                <w:i/>
                <w:color w:val="auto"/>
                <w:sz w:val="22"/>
                <w:szCs w:val="22"/>
              </w:rPr>
            </w:pPr>
            <w:r w:rsidRPr="006C0646">
              <w:rPr>
                <w:rFonts w:ascii="Helvetica" w:hAnsi="Helvetica" w:cs="Helvetica"/>
                <w:i/>
                <w:color w:val="auto"/>
                <w:sz w:val="22"/>
                <w:szCs w:val="22"/>
              </w:rPr>
              <w:t>A boy born in Stockton Town Centre (which has some of the most serious literacy challenges in the country) has a life expectancy </w:t>
            </w:r>
            <w:r w:rsidRPr="006C0646">
              <w:rPr>
                <w:rFonts w:ascii="Helvetica" w:hAnsi="Helvetica" w:cs="Helvetica"/>
                <w:b/>
                <w:bCs/>
                <w:i/>
                <w:color w:val="auto"/>
                <w:sz w:val="22"/>
                <w:szCs w:val="22"/>
              </w:rPr>
              <w:t>26.1 years shorter</w:t>
            </w:r>
            <w:r w:rsidRPr="006C0646">
              <w:rPr>
                <w:rFonts w:ascii="Helvetica" w:hAnsi="Helvetica" w:cs="Helvetica"/>
                <w:i/>
                <w:color w:val="auto"/>
                <w:sz w:val="22"/>
                <w:szCs w:val="22"/>
              </w:rPr>
              <w:t> than a boy born in North Oxford (which has some of the fewest literacy challenges)</w:t>
            </w:r>
          </w:p>
          <w:p w14:paraId="63A75856" w14:textId="77777777" w:rsidR="006F3E37" w:rsidRPr="006C0646" w:rsidRDefault="006F3E37" w:rsidP="006C0646">
            <w:pPr>
              <w:numPr>
                <w:ilvl w:val="0"/>
                <w:numId w:val="18"/>
              </w:numPr>
              <w:shd w:val="clear" w:color="auto" w:fill="FFFFFF"/>
              <w:suppressAutoHyphens w:val="0"/>
              <w:autoSpaceDN/>
              <w:spacing w:before="100" w:beforeAutospacing="1" w:after="225" w:line="240" w:lineRule="auto"/>
              <w:rPr>
                <w:rFonts w:ascii="Helvetica" w:hAnsi="Helvetica" w:cs="Helvetica"/>
                <w:i/>
                <w:color w:val="auto"/>
                <w:sz w:val="22"/>
                <w:szCs w:val="22"/>
              </w:rPr>
            </w:pPr>
            <w:r w:rsidRPr="006C0646">
              <w:rPr>
                <w:rFonts w:ascii="Helvetica" w:hAnsi="Helvetica" w:cs="Helvetica"/>
                <w:i/>
                <w:color w:val="auto"/>
                <w:sz w:val="22"/>
                <w:szCs w:val="22"/>
              </w:rPr>
              <w:t>A girl born in Queensgate, Burnley (which has some of the most serious literacy challenges in the country), has a life expectancy </w:t>
            </w:r>
            <w:r w:rsidRPr="006C0646">
              <w:rPr>
                <w:rFonts w:ascii="Helvetica" w:hAnsi="Helvetica" w:cs="Helvetica"/>
                <w:b/>
                <w:bCs/>
                <w:i/>
                <w:color w:val="auto"/>
                <w:sz w:val="22"/>
                <w:szCs w:val="22"/>
              </w:rPr>
              <w:t>20.9 years shorter</w:t>
            </w:r>
            <w:r w:rsidRPr="006C0646">
              <w:rPr>
                <w:rFonts w:ascii="Helvetica" w:hAnsi="Helvetica" w:cs="Helvetica"/>
                <w:i/>
                <w:color w:val="auto"/>
                <w:sz w:val="22"/>
                <w:szCs w:val="22"/>
              </w:rPr>
              <w:t xml:space="preserve"> than a girl born in Mayfield, </w:t>
            </w:r>
            <w:proofErr w:type="spellStart"/>
            <w:r w:rsidRPr="006C0646">
              <w:rPr>
                <w:rFonts w:ascii="Helvetica" w:hAnsi="Helvetica" w:cs="Helvetica"/>
                <w:i/>
                <w:color w:val="auto"/>
                <w:sz w:val="22"/>
                <w:szCs w:val="22"/>
              </w:rPr>
              <w:t>Wealdon</w:t>
            </w:r>
            <w:proofErr w:type="spellEnd"/>
            <w:r w:rsidRPr="006C0646">
              <w:rPr>
                <w:rFonts w:ascii="Helvetica" w:hAnsi="Helvetica" w:cs="Helvetica"/>
                <w:i/>
                <w:color w:val="auto"/>
                <w:sz w:val="22"/>
                <w:szCs w:val="22"/>
              </w:rPr>
              <w:t xml:space="preserve"> (which has some of the fewest literacy challenges)</w:t>
            </w:r>
          </w:p>
          <w:p w14:paraId="25F4B7C8" w14:textId="77777777" w:rsidR="006F3E37" w:rsidRPr="006C0646" w:rsidRDefault="006F3E37" w:rsidP="006C0646">
            <w:pPr>
              <w:shd w:val="clear" w:color="auto" w:fill="FFFFFF"/>
              <w:suppressAutoHyphens w:val="0"/>
              <w:autoSpaceDN/>
              <w:spacing w:before="225" w:after="225" w:line="240" w:lineRule="auto"/>
              <w:rPr>
                <w:rFonts w:ascii="Helvetica" w:hAnsi="Helvetica" w:cs="Helvetica"/>
                <w:i/>
                <w:color w:val="auto"/>
                <w:sz w:val="22"/>
                <w:szCs w:val="22"/>
              </w:rPr>
            </w:pPr>
            <w:r w:rsidRPr="006C0646">
              <w:rPr>
                <w:rFonts w:ascii="Helvetica" w:hAnsi="Helvetica" w:cs="Helvetica"/>
                <w:i/>
                <w:color w:val="auto"/>
                <w:sz w:val="22"/>
                <w:szCs w:val="22"/>
              </w:rPr>
              <w:lastRenderedPageBreak/>
              <w:t>What’s more, these inequalities even exist within the same communities:</w:t>
            </w:r>
          </w:p>
          <w:p w14:paraId="383B33A5" w14:textId="77777777" w:rsidR="006F3E37" w:rsidRPr="006C0646" w:rsidRDefault="006F3E37" w:rsidP="006C0646">
            <w:pPr>
              <w:numPr>
                <w:ilvl w:val="0"/>
                <w:numId w:val="19"/>
              </w:numPr>
              <w:shd w:val="clear" w:color="auto" w:fill="FFFFFF"/>
              <w:suppressAutoHyphens w:val="0"/>
              <w:autoSpaceDN/>
              <w:spacing w:before="100" w:beforeAutospacing="1" w:after="225" w:line="240" w:lineRule="auto"/>
              <w:rPr>
                <w:rFonts w:ascii="Helvetica" w:hAnsi="Helvetica" w:cs="Helvetica"/>
                <w:i/>
                <w:color w:val="auto"/>
                <w:sz w:val="22"/>
                <w:szCs w:val="22"/>
              </w:rPr>
            </w:pPr>
            <w:r w:rsidRPr="006C0646">
              <w:rPr>
                <w:rFonts w:ascii="Helvetica" w:hAnsi="Helvetica" w:cs="Helvetica"/>
                <w:i/>
                <w:color w:val="auto"/>
                <w:sz w:val="22"/>
                <w:szCs w:val="22"/>
              </w:rPr>
              <w:t>In Middlesbrough, a boy born in the ward of North Ormesby (which has some of the most serious literacy challenges in the country) has a life expectancy of 71.4 years, which is </w:t>
            </w:r>
            <w:r w:rsidRPr="006C0646">
              <w:rPr>
                <w:rFonts w:ascii="Helvetica" w:hAnsi="Helvetica" w:cs="Helvetica"/>
                <w:b/>
                <w:bCs/>
                <w:i/>
                <w:color w:val="auto"/>
                <w:sz w:val="22"/>
                <w:szCs w:val="22"/>
              </w:rPr>
              <w:t>11.6 years shorter</w:t>
            </w:r>
            <w:r w:rsidRPr="006C0646">
              <w:rPr>
                <w:rFonts w:ascii="Helvetica" w:hAnsi="Helvetica" w:cs="Helvetica"/>
                <w:i/>
                <w:color w:val="auto"/>
                <w:sz w:val="22"/>
                <w:szCs w:val="22"/>
              </w:rPr>
              <w:t> than a boy born just </w:t>
            </w:r>
            <w:r w:rsidRPr="006C0646">
              <w:rPr>
                <w:rFonts w:ascii="Helvetica" w:hAnsi="Helvetica" w:cs="Helvetica"/>
                <w:b/>
                <w:bCs/>
                <w:i/>
                <w:color w:val="auto"/>
                <w:sz w:val="22"/>
                <w:szCs w:val="22"/>
              </w:rPr>
              <w:t>2 miles away</w:t>
            </w:r>
            <w:r w:rsidRPr="006C0646">
              <w:rPr>
                <w:rFonts w:ascii="Helvetica" w:hAnsi="Helvetica" w:cs="Helvetica"/>
                <w:i/>
                <w:color w:val="auto"/>
                <w:sz w:val="22"/>
                <w:szCs w:val="22"/>
              </w:rPr>
              <w:t xml:space="preserve"> in </w:t>
            </w:r>
            <w:proofErr w:type="spellStart"/>
            <w:r w:rsidRPr="006C0646">
              <w:rPr>
                <w:rFonts w:ascii="Helvetica" w:hAnsi="Helvetica" w:cs="Helvetica"/>
                <w:i/>
                <w:color w:val="auto"/>
                <w:sz w:val="22"/>
                <w:szCs w:val="22"/>
              </w:rPr>
              <w:t>Marton</w:t>
            </w:r>
            <w:proofErr w:type="spellEnd"/>
            <w:r w:rsidRPr="006C0646">
              <w:rPr>
                <w:rFonts w:ascii="Helvetica" w:hAnsi="Helvetica" w:cs="Helvetica"/>
                <w:i/>
                <w:color w:val="auto"/>
                <w:sz w:val="22"/>
                <w:szCs w:val="22"/>
              </w:rPr>
              <w:t xml:space="preserve"> East (which has some of the fewest literacy challenges in the country) who has a life expectancy of 83 years; the gap is </w:t>
            </w:r>
            <w:r w:rsidRPr="006C0646">
              <w:rPr>
                <w:rFonts w:ascii="Helvetica" w:hAnsi="Helvetica" w:cs="Helvetica"/>
                <w:b/>
                <w:bCs/>
                <w:i/>
                <w:color w:val="auto"/>
                <w:sz w:val="22"/>
                <w:szCs w:val="22"/>
              </w:rPr>
              <w:t>9.4 years</w:t>
            </w:r>
            <w:r w:rsidRPr="006C0646">
              <w:rPr>
                <w:rFonts w:ascii="Helvetica" w:hAnsi="Helvetica" w:cs="Helvetica"/>
                <w:i/>
                <w:color w:val="auto"/>
                <w:sz w:val="22"/>
                <w:szCs w:val="22"/>
              </w:rPr>
              <w:t> for girls (76.5 years vs 85.9 years)</w:t>
            </w:r>
          </w:p>
          <w:p w14:paraId="4CB74AB6" w14:textId="77777777" w:rsidR="006F3E37" w:rsidRPr="00764B77" w:rsidRDefault="006F3E37" w:rsidP="00764B77">
            <w:pPr>
              <w:suppressAutoHyphens w:val="0"/>
              <w:autoSpaceDN/>
              <w:spacing w:after="0" w:line="240" w:lineRule="auto"/>
              <w:rPr>
                <w:rFonts w:cs="Arial"/>
                <w:b/>
                <w:color w:val="auto"/>
                <w:sz w:val="22"/>
              </w:rPr>
            </w:pPr>
            <w:r w:rsidRPr="00764B77">
              <w:rPr>
                <w:rFonts w:cs="Arial"/>
                <w:b/>
                <w:color w:val="auto"/>
                <w:sz w:val="22"/>
              </w:rPr>
              <w:t xml:space="preserve">Reading Development Framework: July 2021 </w:t>
            </w:r>
          </w:p>
          <w:p w14:paraId="2EB9FC0A" w14:textId="4CEFA8CA" w:rsidR="006F3E37" w:rsidRDefault="00FC0CF6" w:rsidP="00764B77">
            <w:pPr>
              <w:suppressAutoHyphens w:val="0"/>
              <w:autoSpaceDN/>
              <w:spacing w:after="0" w:line="240" w:lineRule="auto"/>
              <w:rPr>
                <w:rFonts w:cs="Arial"/>
                <w:sz w:val="22"/>
              </w:rPr>
            </w:pPr>
            <w:hyperlink w:history="1">
              <w:r w:rsidR="006F3E37" w:rsidRPr="00540740">
                <w:rPr>
                  <w:rStyle w:val="Hyperlink"/>
                  <w:rFonts w:cs="Arial"/>
                  <w:sz w:val="22"/>
                </w:rPr>
                <w:t>The reading framework: teaching the foundations of literacy - GOV.UK (www.gov.uk)</w:t>
              </w:r>
            </w:hyperlink>
            <w:r w:rsidR="006F3E37">
              <w:rPr>
                <w:rFonts w:cs="Arial"/>
                <w:sz w:val="22"/>
              </w:rPr>
              <w:t xml:space="preserve"> (Section 3)</w:t>
            </w:r>
          </w:p>
          <w:p w14:paraId="212B30BD" w14:textId="10F996F5" w:rsidR="006F3E37" w:rsidRDefault="006F3E37" w:rsidP="00764B77">
            <w:pPr>
              <w:suppressAutoHyphens w:val="0"/>
              <w:autoSpaceDN/>
              <w:spacing w:after="0" w:line="240" w:lineRule="auto"/>
              <w:rPr>
                <w:rFonts w:cs="Arial"/>
                <w:sz w:val="22"/>
              </w:rPr>
            </w:pPr>
          </w:p>
          <w:p w14:paraId="5220F5BE" w14:textId="14B7C3E3" w:rsidR="006F3E37" w:rsidRDefault="00FC0CF6" w:rsidP="00764B77">
            <w:pPr>
              <w:suppressAutoHyphens w:val="0"/>
              <w:autoSpaceDN/>
              <w:spacing w:after="0" w:line="240" w:lineRule="auto"/>
              <w:rPr>
                <w:rFonts w:cs="Arial"/>
                <w:sz w:val="22"/>
              </w:rPr>
            </w:pPr>
            <w:hyperlink r:id="rId31" w:history="1">
              <w:r w:rsidR="006F3E37">
                <w:rPr>
                  <w:rStyle w:val="Hyperlink"/>
                </w:rPr>
                <w:t>Section 3: Word reading and spelling (publishing.service.gov.uk)</w:t>
              </w:r>
            </w:hyperlink>
          </w:p>
          <w:p w14:paraId="3006CFE5" w14:textId="77777777" w:rsidR="006F3E37" w:rsidRDefault="006F3E37" w:rsidP="00764B77">
            <w:pPr>
              <w:suppressAutoHyphens w:val="0"/>
              <w:autoSpaceDN/>
              <w:spacing w:after="0" w:line="240" w:lineRule="auto"/>
              <w:rPr>
                <w:rFonts w:cs="Arial"/>
                <w:color w:val="auto"/>
                <w:sz w:val="22"/>
              </w:rPr>
            </w:pPr>
          </w:p>
          <w:p w14:paraId="106249E1" w14:textId="77777777" w:rsidR="006F3E37" w:rsidRPr="00764B77" w:rsidRDefault="006F3E37" w:rsidP="00764B77">
            <w:pPr>
              <w:suppressAutoHyphens w:val="0"/>
              <w:autoSpaceDN/>
              <w:spacing w:after="0" w:line="240" w:lineRule="auto"/>
              <w:rPr>
                <w:b/>
                <w:sz w:val="22"/>
                <w:szCs w:val="22"/>
              </w:rPr>
            </w:pPr>
            <w:r w:rsidRPr="00764B77">
              <w:rPr>
                <w:b/>
                <w:sz w:val="22"/>
                <w:szCs w:val="22"/>
              </w:rPr>
              <w:t xml:space="preserve">Jim Rose, 2006, Independent Review of Early Reading </w:t>
            </w:r>
          </w:p>
          <w:p w14:paraId="25B8ED5E" w14:textId="77777777" w:rsidR="006F3E37" w:rsidRPr="00CD6BB7" w:rsidRDefault="00FC0CF6" w:rsidP="00764B77">
            <w:pPr>
              <w:suppressAutoHyphens w:val="0"/>
              <w:autoSpaceDN/>
              <w:spacing w:after="0" w:line="240" w:lineRule="auto"/>
              <w:rPr>
                <w:rFonts w:cs="Arial"/>
                <w:color w:val="auto"/>
              </w:rPr>
            </w:pPr>
            <w:hyperlink r:id="rId32" w:history="1">
              <w:r w:rsidR="006F3E37" w:rsidRPr="00CD6BB7">
                <w:rPr>
                  <w:rStyle w:val="Hyperlink"/>
                </w:rPr>
                <w:t>untitled (ioe.ac.uk)</w:t>
              </w:r>
            </w:hyperlink>
          </w:p>
          <w:p w14:paraId="42770491" w14:textId="7CA9DF5B" w:rsidR="006F3E37" w:rsidRDefault="006F3E37" w:rsidP="00764B77">
            <w:pPr>
              <w:pStyle w:val="TableRowCentered"/>
              <w:jc w:val="left"/>
              <w:rPr>
                <w:sz w:val="22"/>
                <w:szCs w:val="22"/>
              </w:rPr>
            </w:pPr>
          </w:p>
          <w:p w14:paraId="1BEA9AE0" w14:textId="12443DBF" w:rsidR="006F3E37" w:rsidRDefault="006F3E37" w:rsidP="00764B77">
            <w:pPr>
              <w:pStyle w:val="TableRowCentered"/>
              <w:jc w:val="left"/>
              <w:rPr>
                <w:sz w:val="22"/>
                <w:szCs w:val="22"/>
              </w:rPr>
            </w:pPr>
            <w:r w:rsidRPr="00764B77">
              <w:rPr>
                <w:b/>
                <w:sz w:val="22"/>
                <w:szCs w:val="22"/>
              </w:rPr>
              <w:t>EEF: 15 Lessons Learned in the EEF’s First 6 Years</w:t>
            </w:r>
          </w:p>
          <w:p w14:paraId="6AF70B36" w14:textId="77777777" w:rsidR="006F3E37" w:rsidRDefault="00FC0CF6" w:rsidP="00764B77">
            <w:pPr>
              <w:pStyle w:val="TableRowCentered"/>
              <w:jc w:val="left"/>
            </w:pPr>
            <w:hyperlink r:id="rId33" w:history="1">
              <w:r w:rsidR="006F3E37">
                <w:rPr>
                  <w:rStyle w:val="Hyperlink"/>
                </w:rPr>
                <w:t>EEF_Key_lessons_learned.pdf (educationendowmentfoundation.org.uk)</w:t>
              </w:r>
            </w:hyperlink>
          </w:p>
          <w:p w14:paraId="2275FCF9" w14:textId="77777777" w:rsidR="006F3E37" w:rsidRDefault="006F3E37" w:rsidP="00764B77">
            <w:pPr>
              <w:pStyle w:val="TableRowCentered"/>
              <w:jc w:val="left"/>
              <w:rPr>
                <w:rFonts w:cs="Arial"/>
                <w:i/>
                <w:color w:val="263238"/>
                <w:sz w:val="22"/>
                <w:szCs w:val="22"/>
                <w:shd w:val="clear" w:color="auto" w:fill="FFFFFF"/>
              </w:rPr>
            </w:pPr>
          </w:p>
          <w:p w14:paraId="561A7B87" w14:textId="77777777" w:rsidR="006F3E37" w:rsidRDefault="006F3E37" w:rsidP="00764B77">
            <w:pPr>
              <w:pStyle w:val="TableRowCentered"/>
              <w:jc w:val="left"/>
              <w:rPr>
                <w:i/>
                <w:sz w:val="22"/>
                <w:szCs w:val="22"/>
              </w:rPr>
            </w:pPr>
            <w:r>
              <w:rPr>
                <w:i/>
                <w:sz w:val="22"/>
                <w:szCs w:val="22"/>
              </w:rPr>
              <w:t>‘</w:t>
            </w:r>
            <w:r w:rsidRPr="003F570D">
              <w:rPr>
                <w:i/>
                <w:sz w:val="22"/>
                <w:szCs w:val="22"/>
              </w:rPr>
              <w:t>Early Years education has huge promise in preventing the attainment gap becoming entrenched before children start school. However, it has not – yet – yielded as much as it should. Professional support and training for early years workers is key. Areas with potential include communication and language approaches; self</w:t>
            </w:r>
            <w:r>
              <w:rPr>
                <w:i/>
                <w:sz w:val="22"/>
                <w:szCs w:val="22"/>
              </w:rPr>
              <w:t>-</w:t>
            </w:r>
            <w:r w:rsidRPr="003F570D">
              <w:rPr>
                <w:i/>
                <w:sz w:val="22"/>
                <w:szCs w:val="22"/>
              </w:rPr>
              <w:t>regulation strategies; and parental involvement.</w:t>
            </w:r>
            <w:r>
              <w:rPr>
                <w:i/>
                <w:sz w:val="22"/>
                <w:szCs w:val="22"/>
              </w:rPr>
              <w:t>’</w:t>
            </w:r>
            <w:r w:rsidRPr="003F570D">
              <w:rPr>
                <w:i/>
                <w:sz w:val="22"/>
                <w:szCs w:val="22"/>
              </w:rPr>
              <w:t xml:space="preserve"> </w:t>
            </w:r>
          </w:p>
          <w:p w14:paraId="4D9ED16F" w14:textId="77777777" w:rsidR="006F3E37" w:rsidRDefault="006F3E37" w:rsidP="00764B77">
            <w:pPr>
              <w:pStyle w:val="TableRowCentered"/>
              <w:jc w:val="left"/>
              <w:rPr>
                <w:sz w:val="22"/>
                <w:szCs w:val="22"/>
              </w:rPr>
            </w:pPr>
          </w:p>
          <w:p w14:paraId="018A99BF" w14:textId="5101D03F" w:rsidR="006F3E37" w:rsidRPr="00764B77" w:rsidRDefault="006F3E37" w:rsidP="00764B77">
            <w:pPr>
              <w:pStyle w:val="TableRowCentered"/>
              <w:jc w:val="left"/>
              <w:rPr>
                <w:b/>
                <w:sz w:val="22"/>
                <w:szCs w:val="22"/>
              </w:rPr>
            </w:pPr>
            <w:r w:rsidRPr="00764B77">
              <w:rPr>
                <w:b/>
                <w:sz w:val="22"/>
                <w:szCs w:val="22"/>
              </w:rPr>
              <w:t>Literacy Changes Lives</w:t>
            </w:r>
          </w:p>
          <w:p w14:paraId="4FA64E1F" w14:textId="3D38E64A" w:rsidR="006F3E37" w:rsidRDefault="00FC0CF6">
            <w:pPr>
              <w:pStyle w:val="TableRowCentered"/>
              <w:jc w:val="left"/>
              <w:rPr>
                <w:sz w:val="22"/>
                <w:szCs w:val="22"/>
              </w:rPr>
            </w:pPr>
            <w:hyperlink r:id="rId34" w:history="1">
              <w:r w:rsidR="006F3E37">
                <w:rPr>
                  <w:rStyle w:val="Hyperlink"/>
                </w:rPr>
                <w:t>Literacy Changes Lives (2008): An advocacy resource | National Literacy Trust</w:t>
              </w:r>
            </w:hyperlink>
          </w:p>
          <w:p w14:paraId="2CCB3547" w14:textId="77777777" w:rsidR="006F3E37" w:rsidRDefault="006F3E37" w:rsidP="006C0646">
            <w:pPr>
              <w:pStyle w:val="TableRowCentered"/>
              <w:jc w:val="left"/>
              <w:rPr>
                <w:rFonts w:cs="Arial"/>
                <w:i/>
                <w:sz w:val="22"/>
                <w:szCs w:val="22"/>
                <w:shd w:val="clear" w:color="auto" w:fill="FFFFFF"/>
              </w:rPr>
            </w:pPr>
            <w:r w:rsidRPr="006C0646">
              <w:rPr>
                <w:rFonts w:cs="Arial"/>
                <w:i/>
                <w:sz w:val="22"/>
                <w:szCs w:val="22"/>
                <w:shd w:val="clear" w:color="auto" w:fill="FFFFFF"/>
              </w:rPr>
              <w:t>This review of existing literature presents overwhelming evidence that literacy has a significant relationship with a person’s happiness and success. It gives a clear indication of the dangers of poor literacy and also the benefits of improving literacy for the individual, the community, the workforce and the nation.</w:t>
            </w:r>
          </w:p>
          <w:p w14:paraId="2A7D552A" w14:textId="2963F12E" w:rsidR="006F3E37" w:rsidRPr="006C0646" w:rsidRDefault="006F3E37" w:rsidP="006C0646">
            <w:pPr>
              <w:pStyle w:val="TableRowCentered"/>
              <w:jc w:val="left"/>
              <w:rPr>
                <w:rFonts w:cs="Arial"/>
                <w:i/>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359E9E" w:rsidR="006F3E37" w:rsidRPr="00211373" w:rsidRDefault="006F3E37">
            <w:pPr>
              <w:pStyle w:val="TableRowCentered"/>
              <w:jc w:val="left"/>
              <w:rPr>
                <w:sz w:val="22"/>
                <w:szCs w:val="22"/>
              </w:rPr>
            </w:pPr>
            <w:r>
              <w:rPr>
                <w:sz w:val="22"/>
                <w:szCs w:val="22"/>
              </w:rPr>
              <w:lastRenderedPageBreak/>
              <w:t>3/4</w:t>
            </w:r>
          </w:p>
        </w:tc>
      </w:tr>
      <w:tr w:rsidR="006F3E37" w14:paraId="2A7D5530" w14:textId="77777777" w:rsidTr="006C0646">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0E4C" w14:textId="77777777" w:rsidR="006F3E37" w:rsidRDefault="006F3E37">
            <w:pPr>
              <w:pStyle w:val="TableRow"/>
              <w:rPr>
                <w:sz w:val="22"/>
                <w:szCs w:val="22"/>
              </w:rPr>
            </w:pPr>
            <w:r w:rsidRPr="00211373">
              <w:rPr>
                <w:sz w:val="22"/>
                <w:szCs w:val="22"/>
              </w:rPr>
              <w:t xml:space="preserve">1:1 and small group tutoring </w:t>
            </w:r>
            <w:r>
              <w:rPr>
                <w:sz w:val="22"/>
                <w:szCs w:val="22"/>
              </w:rPr>
              <w:t xml:space="preserve">by expert teacher for year 6 </w:t>
            </w:r>
          </w:p>
          <w:p w14:paraId="2A7D552D" w14:textId="2F56A61B" w:rsidR="006F3E37" w:rsidRPr="00211373" w:rsidRDefault="006F3E37">
            <w:pPr>
              <w:pStyle w:val="TableRow"/>
              <w:rPr>
                <w:sz w:val="22"/>
                <w:szCs w:val="22"/>
              </w:rPr>
            </w:pPr>
            <w:r>
              <w:rPr>
                <w:sz w:val="22"/>
                <w:szCs w:val="22"/>
              </w:rPr>
              <w:t xml:space="preserve">Reading </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683DCD63"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229CE93" w:rsidR="006F3E37" w:rsidRPr="00211373" w:rsidRDefault="006F3E37">
            <w:pPr>
              <w:pStyle w:val="TableRowCentered"/>
              <w:jc w:val="left"/>
              <w:rPr>
                <w:sz w:val="22"/>
                <w:szCs w:val="22"/>
              </w:rPr>
            </w:pPr>
            <w:r>
              <w:rPr>
                <w:sz w:val="22"/>
                <w:szCs w:val="22"/>
              </w:rPr>
              <w:t>3/4</w:t>
            </w:r>
          </w:p>
        </w:tc>
      </w:tr>
      <w:tr w:rsidR="006F3E37" w14:paraId="7E760994" w14:textId="77777777" w:rsidTr="006C0646">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21AE" w14:textId="5C3BE34F" w:rsidR="006F3E37" w:rsidRPr="00211373" w:rsidRDefault="006F3E37">
            <w:pPr>
              <w:pStyle w:val="TableRow"/>
              <w:rPr>
                <w:sz w:val="22"/>
                <w:szCs w:val="22"/>
              </w:rPr>
            </w:pPr>
            <w:r>
              <w:rPr>
                <w:sz w:val="22"/>
                <w:szCs w:val="22"/>
              </w:rPr>
              <w:t>1:1 tutoring in year 6 as CTs are released by teachers by expert teachers for 2 afternoons per week, so that they can carry out forensic support in literacy and numeracy FTE 1 day per week from January to June 30</w:t>
            </w:r>
            <w:r w:rsidRPr="00E90A30">
              <w:rPr>
                <w:sz w:val="22"/>
                <w:szCs w:val="22"/>
                <w:vertAlign w:val="superscript"/>
              </w:rPr>
              <w:t>th</w:t>
            </w:r>
            <w:r>
              <w:rPr>
                <w:sz w:val="22"/>
                <w:szCs w:val="22"/>
              </w:rPr>
              <w:t xml:space="preserve"> </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2BD05A" w14:textId="25FD3A4D"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D2C0" w14:textId="24C32633" w:rsidR="006F3E37" w:rsidRPr="00211373" w:rsidRDefault="006F3E37">
            <w:pPr>
              <w:pStyle w:val="TableRowCentered"/>
              <w:jc w:val="left"/>
              <w:rPr>
                <w:sz w:val="22"/>
                <w:szCs w:val="22"/>
              </w:rPr>
            </w:pPr>
            <w:r>
              <w:rPr>
                <w:sz w:val="22"/>
                <w:szCs w:val="22"/>
              </w:rPr>
              <w:t>3/4</w:t>
            </w:r>
          </w:p>
        </w:tc>
      </w:tr>
      <w:tr w:rsidR="006F3E37" w14:paraId="791A08D4"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774" w14:textId="1B582A8B" w:rsidR="006F3E37" w:rsidRDefault="006F3E37" w:rsidP="002B1148">
            <w:pPr>
              <w:pStyle w:val="TableRow"/>
              <w:rPr>
                <w:sz w:val="22"/>
                <w:szCs w:val="22"/>
              </w:rPr>
            </w:pPr>
            <w:r w:rsidRPr="00211373">
              <w:rPr>
                <w:sz w:val="22"/>
                <w:szCs w:val="22"/>
              </w:rPr>
              <w:t xml:space="preserve">NTP small group tutoring x 15 session blocks for year </w:t>
            </w:r>
            <w:r>
              <w:rPr>
                <w:sz w:val="22"/>
                <w:szCs w:val="22"/>
              </w:rPr>
              <w:t>5</w:t>
            </w:r>
            <w:r w:rsidRPr="00211373">
              <w:rPr>
                <w:sz w:val="22"/>
                <w:szCs w:val="22"/>
              </w:rPr>
              <w:t xml:space="preserve"> – over 3 tranches</w:t>
            </w:r>
          </w:p>
          <w:p w14:paraId="115A8075" w14:textId="4754AB0F" w:rsidR="003443DE" w:rsidRPr="00211373" w:rsidRDefault="006F3E37" w:rsidP="003443DE">
            <w:pPr>
              <w:pStyle w:val="TableRow"/>
              <w:rPr>
                <w:sz w:val="22"/>
                <w:szCs w:val="22"/>
              </w:rPr>
            </w:pPr>
            <w:r>
              <w:rPr>
                <w:sz w:val="22"/>
                <w:szCs w:val="22"/>
              </w:rPr>
              <w:t>Reading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57FECE90" w14:textId="7EB26A58"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3DC8" w14:textId="435CE84A" w:rsidR="006F3E37" w:rsidRPr="00211373" w:rsidRDefault="006F3E37">
            <w:pPr>
              <w:pStyle w:val="TableRowCentered"/>
              <w:jc w:val="left"/>
              <w:rPr>
                <w:sz w:val="22"/>
                <w:szCs w:val="22"/>
              </w:rPr>
            </w:pPr>
            <w:r>
              <w:rPr>
                <w:sz w:val="22"/>
                <w:szCs w:val="22"/>
              </w:rPr>
              <w:t>3/4</w:t>
            </w:r>
          </w:p>
        </w:tc>
      </w:tr>
      <w:tr w:rsidR="006F3E37" w14:paraId="1BB51382"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EF658" w14:textId="6E1522EE" w:rsidR="006F3E37" w:rsidRDefault="006F3E37" w:rsidP="002B1148">
            <w:pPr>
              <w:pStyle w:val="TableRow"/>
              <w:rPr>
                <w:sz w:val="22"/>
                <w:szCs w:val="22"/>
              </w:rPr>
            </w:pPr>
            <w:r w:rsidRPr="00211373">
              <w:rPr>
                <w:sz w:val="22"/>
                <w:szCs w:val="22"/>
              </w:rPr>
              <w:t xml:space="preserve">1:1 and small group tutoring </w:t>
            </w:r>
            <w:r>
              <w:rPr>
                <w:sz w:val="22"/>
                <w:szCs w:val="22"/>
              </w:rPr>
              <w:t xml:space="preserve">by expert teacher for year 5 </w:t>
            </w:r>
          </w:p>
          <w:p w14:paraId="25F359EF" w14:textId="7C8D980F" w:rsidR="006F3E37" w:rsidRPr="00211373" w:rsidRDefault="006F3E37" w:rsidP="002B1148">
            <w:pPr>
              <w:pStyle w:val="TableRow"/>
              <w:rPr>
                <w:sz w:val="22"/>
                <w:szCs w:val="22"/>
              </w:rPr>
            </w:pPr>
            <w:r>
              <w:rPr>
                <w:sz w:val="22"/>
                <w:szCs w:val="22"/>
              </w:rPr>
              <w:t>Reading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03CDFCD2" w14:textId="1DA6B206"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B359" w14:textId="1552D042" w:rsidR="006F3E37" w:rsidRPr="00211373" w:rsidRDefault="006F3E37">
            <w:pPr>
              <w:pStyle w:val="TableRowCentered"/>
              <w:jc w:val="left"/>
              <w:rPr>
                <w:sz w:val="22"/>
                <w:szCs w:val="22"/>
              </w:rPr>
            </w:pPr>
            <w:r>
              <w:rPr>
                <w:sz w:val="22"/>
                <w:szCs w:val="22"/>
              </w:rPr>
              <w:t>3/4</w:t>
            </w:r>
          </w:p>
        </w:tc>
      </w:tr>
      <w:tr w:rsidR="006F3E37" w14:paraId="70E899FA"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CBFE" w14:textId="7846BB5A" w:rsidR="006F3E37" w:rsidRDefault="006F3E37" w:rsidP="004C753F">
            <w:pPr>
              <w:pStyle w:val="TableRow"/>
              <w:rPr>
                <w:sz w:val="22"/>
                <w:szCs w:val="22"/>
              </w:rPr>
            </w:pPr>
            <w:r w:rsidRPr="00211373">
              <w:rPr>
                <w:sz w:val="22"/>
                <w:szCs w:val="22"/>
              </w:rPr>
              <w:t xml:space="preserve">NTP small group tutoring x 15 session blocks for year </w:t>
            </w:r>
            <w:r>
              <w:rPr>
                <w:sz w:val="22"/>
                <w:szCs w:val="22"/>
              </w:rPr>
              <w:t>4</w:t>
            </w:r>
            <w:r w:rsidRPr="00211373">
              <w:rPr>
                <w:sz w:val="22"/>
                <w:szCs w:val="22"/>
              </w:rPr>
              <w:t xml:space="preserve"> – over 3 tranches</w:t>
            </w:r>
          </w:p>
          <w:p w14:paraId="0CBA2238" w14:textId="43879CF9" w:rsidR="006F3E37" w:rsidRPr="00211373" w:rsidRDefault="006F3E37" w:rsidP="004C753F">
            <w:pPr>
              <w:pStyle w:val="TableRow"/>
              <w:rPr>
                <w:sz w:val="22"/>
                <w:szCs w:val="22"/>
              </w:rPr>
            </w:pPr>
            <w:r>
              <w:rPr>
                <w:sz w:val="22"/>
                <w:szCs w:val="22"/>
              </w:rPr>
              <w:t>Reading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5BBF7677" w14:textId="1F0853FE"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8EF1" w14:textId="614EFC69" w:rsidR="006F3E37" w:rsidRPr="00211373" w:rsidRDefault="006F3E37">
            <w:pPr>
              <w:pStyle w:val="TableRowCentered"/>
              <w:jc w:val="left"/>
              <w:rPr>
                <w:sz w:val="22"/>
                <w:szCs w:val="22"/>
              </w:rPr>
            </w:pPr>
            <w:r>
              <w:rPr>
                <w:sz w:val="22"/>
                <w:szCs w:val="22"/>
              </w:rPr>
              <w:t>3/4</w:t>
            </w:r>
          </w:p>
        </w:tc>
      </w:tr>
      <w:tr w:rsidR="006F3E37" w14:paraId="705443E8"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56D6" w14:textId="308BD82E" w:rsidR="006F3E37" w:rsidRDefault="006F3E37" w:rsidP="004C753F">
            <w:pPr>
              <w:pStyle w:val="TableRow"/>
              <w:rPr>
                <w:sz w:val="22"/>
                <w:szCs w:val="22"/>
              </w:rPr>
            </w:pPr>
            <w:r w:rsidRPr="00211373">
              <w:rPr>
                <w:sz w:val="22"/>
                <w:szCs w:val="22"/>
              </w:rPr>
              <w:t xml:space="preserve">NTP small group tutoring x 15 session blocks for year </w:t>
            </w:r>
            <w:r w:rsidR="003443DE">
              <w:rPr>
                <w:sz w:val="22"/>
                <w:szCs w:val="22"/>
              </w:rPr>
              <w:t>3</w:t>
            </w:r>
            <w:r w:rsidRPr="00211373">
              <w:rPr>
                <w:sz w:val="22"/>
                <w:szCs w:val="22"/>
              </w:rPr>
              <w:t xml:space="preserve"> – over 3 tranches</w:t>
            </w:r>
          </w:p>
          <w:p w14:paraId="53AD2343" w14:textId="7B6E32A5" w:rsidR="006F3E37" w:rsidRPr="00211373" w:rsidRDefault="006F3E37" w:rsidP="004C753F">
            <w:pPr>
              <w:pStyle w:val="TableRow"/>
              <w:rPr>
                <w:sz w:val="22"/>
                <w:szCs w:val="22"/>
              </w:rPr>
            </w:pPr>
            <w:r>
              <w:rPr>
                <w:sz w:val="22"/>
                <w:szCs w:val="22"/>
              </w:rPr>
              <w:t>Reading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342E9303" w14:textId="1D8AF983"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B37A" w14:textId="7023F6CD" w:rsidR="006F3E37" w:rsidRPr="00211373" w:rsidRDefault="006F3E37">
            <w:pPr>
              <w:pStyle w:val="TableRowCentered"/>
              <w:jc w:val="left"/>
              <w:rPr>
                <w:sz w:val="22"/>
                <w:szCs w:val="22"/>
              </w:rPr>
            </w:pPr>
            <w:r>
              <w:rPr>
                <w:sz w:val="22"/>
                <w:szCs w:val="22"/>
              </w:rPr>
              <w:t>3/4</w:t>
            </w:r>
          </w:p>
        </w:tc>
      </w:tr>
      <w:tr w:rsidR="006F3E37" w14:paraId="6FCF08BC"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FFB2" w14:textId="73951962" w:rsidR="006F3E37" w:rsidRDefault="006F3E37" w:rsidP="00216DB9">
            <w:pPr>
              <w:pStyle w:val="TableRow"/>
              <w:rPr>
                <w:sz w:val="22"/>
                <w:szCs w:val="22"/>
              </w:rPr>
            </w:pPr>
            <w:r w:rsidRPr="00211373">
              <w:rPr>
                <w:sz w:val="22"/>
                <w:szCs w:val="22"/>
              </w:rPr>
              <w:t xml:space="preserve">NTP small group tutoring x 15 session blocks for year </w:t>
            </w:r>
            <w:r>
              <w:rPr>
                <w:sz w:val="22"/>
                <w:szCs w:val="22"/>
              </w:rPr>
              <w:t>3</w:t>
            </w:r>
            <w:r w:rsidRPr="00211373">
              <w:rPr>
                <w:sz w:val="22"/>
                <w:szCs w:val="22"/>
              </w:rPr>
              <w:t xml:space="preserve"> – over </w:t>
            </w:r>
            <w:r w:rsidR="003443DE">
              <w:rPr>
                <w:sz w:val="22"/>
                <w:szCs w:val="22"/>
              </w:rPr>
              <w:t>3</w:t>
            </w:r>
            <w:r w:rsidRPr="00211373">
              <w:rPr>
                <w:sz w:val="22"/>
                <w:szCs w:val="22"/>
              </w:rPr>
              <w:t xml:space="preserve"> tranches</w:t>
            </w:r>
          </w:p>
          <w:p w14:paraId="7CC15AEC" w14:textId="39FBB5AB" w:rsidR="003443DE" w:rsidRDefault="003443DE" w:rsidP="00216DB9">
            <w:pPr>
              <w:pStyle w:val="TableRow"/>
              <w:rPr>
                <w:sz w:val="22"/>
                <w:szCs w:val="22"/>
              </w:rPr>
            </w:pPr>
            <w:r>
              <w:rPr>
                <w:sz w:val="22"/>
                <w:szCs w:val="22"/>
              </w:rPr>
              <w:t xml:space="preserve">Writing </w:t>
            </w:r>
          </w:p>
          <w:p w14:paraId="08753EB6" w14:textId="14F37A93" w:rsidR="003443DE" w:rsidRDefault="003443DE" w:rsidP="00216DB9">
            <w:pPr>
              <w:pStyle w:val="TableRow"/>
              <w:rPr>
                <w:sz w:val="22"/>
                <w:szCs w:val="22"/>
              </w:rPr>
            </w:pPr>
          </w:p>
          <w:p w14:paraId="765D4411" w14:textId="71DDE591" w:rsidR="003443DE" w:rsidRDefault="003443DE" w:rsidP="003443DE">
            <w:pPr>
              <w:pStyle w:val="TableRow"/>
              <w:rPr>
                <w:sz w:val="22"/>
                <w:szCs w:val="22"/>
              </w:rPr>
            </w:pPr>
            <w:r w:rsidRPr="00211373">
              <w:rPr>
                <w:sz w:val="22"/>
                <w:szCs w:val="22"/>
              </w:rPr>
              <w:t xml:space="preserve">1:1 and small group tutoring </w:t>
            </w:r>
            <w:r>
              <w:rPr>
                <w:sz w:val="22"/>
                <w:szCs w:val="22"/>
              </w:rPr>
              <w:t xml:space="preserve">by 2 x expert teachers for year 3 </w:t>
            </w:r>
          </w:p>
          <w:p w14:paraId="5BB2248E" w14:textId="255E559A" w:rsidR="003443DE" w:rsidRDefault="003443DE" w:rsidP="003443DE">
            <w:pPr>
              <w:pStyle w:val="TableRow"/>
              <w:rPr>
                <w:sz w:val="22"/>
                <w:szCs w:val="22"/>
              </w:rPr>
            </w:pPr>
            <w:r>
              <w:rPr>
                <w:sz w:val="22"/>
                <w:szCs w:val="22"/>
              </w:rPr>
              <w:t>Early reading and reading x 2 days per week</w:t>
            </w:r>
          </w:p>
          <w:p w14:paraId="2F06C32C" w14:textId="317A3ABD" w:rsidR="003601EB" w:rsidRDefault="003601EB" w:rsidP="003443DE">
            <w:pPr>
              <w:pStyle w:val="TableRow"/>
              <w:rPr>
                <w:sz w:val="22"/>
                <w:szCs w:val="22"/>
              </w:rPr>
            </w:pPr>
          </w:p>
          <w:p w14:paraId="6F52BE18" w14:textId="77777777" w:rsidR="003601EB" w:rsidRPr="003601EB" w:rsidRDefault="003601EB" w:rsidP="003601EB">
            <w:pPr>
              <w:pStyle w:val="Tabletext-left"/>
              <w:spacing w:before="0" w:after="0"/>
              <w:rPr>
                <w:rFonts w:ascii="Arial" w:hAnsi="Arial" w:cs="Arial"/>
                <w:szCs w:val="22"/>
              </w:rPr>
            </w:pPr>
            <w:r w:rsidRPr="003601EB">
              <w:rPr>
                <w:rFonts w:ascii="Arial" w:hAnsi="Arial" w:cs="Arial"/>
                <w:szCs w:val="22"/>
              </w:rPr>
              <w:t xml:space="preserve">Year </w:t>
            </w:r>
            <w:r>
              <w:rPr>
                <w:rFonts w:ascii="Arial" w:hAnsi="Arial" w:cs="Arial"/>
                <w:szCs w:val="22"/>
              </w:rPr>
              <w:t>3</w:t>
            </w:r>
            <w:r w:rsidRPr="003601EB">
              <w:rPr>
                <w:rFonts w:ascii="Arial" w:hAnsi="Arial" w:cs="Arial"/>
                <w:szCs w:val="22"/>
              </w:rPr>
              <w:t xml:space="preserve"> </w:t>
            </w:r>
            <w:r>
              <w:rPr>
                <w:rFonts w:ascii="Arial" w:hAnsi="Arial" w:cs="Arial"/>
                <w:szCs w:val="22"/>
              </w:rPr>
              <w:t xml:space="preserve">additional </w:t>
            </w:r>
            <w:r w:rsidRPr="003601EB">
              <w:rPr>
                <w:rFonts w:ascii="Arial" w:hAnsi="Arial" w:cs="Arial"/>
                <w:szCs w:val="22"/>
              </w:rPr>
              <w:t xml:space="preserve">programme for reading/phonics and writing every morning for 14 weeks – 5 x 30min sessions before school x 4 x TAs and release of teachers through 1 x Expert Teacher </w:t>
            </w:r>
          </w:p>
          <w:p w14:paraId="6BBE0D65" w14:textId="414E7CD9" w:rsidR="003443DE" w:rsidRPr="00211373" w:rsidRDefault="003443DE" w:rsidP="00216DB9">
            <w:pPr>
              <w:pStyle w:val="TableRow"/>
              <w:rPr>
                <w:sz w:val="22"/>
                <w:szCs w:val="22"/>
              </w:rPr>
            </w:pP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7514CE1B" w14:textId="7792DFF1"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3C9BC" w14:textId="15AF3096" w:rsidR="006F3E37" w:rsidRPr="00211373" w:rsidRDefault="006F3E37">
            <w:pPr>
              <w:pStyle w:val="TableRowCentered"/>
              <w:jc w:val="left"/>
              <w:rPr>
                <w:sz w:val="22"/>
                <w:szCs w:val="22"/>
              </w:rPr>
            </w:pPr>
            <w:r>
              <w:rPr>
                <w:sz w:val="22"/>
                <w:szCs w:val="22"/>
              </w:rPr>
              <w:t>3/4</w:t>
            </w:r>
          </w:p>
        </w:tc>
      </w:tr>
      <w:tr w:rsidR="006F3E37" w14:paraId="4C5683CA"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03DB" w14:textId="7095E37F" w:rsidR="006F3E37" w:rsidRDefault="006F3E37" w:rsidP="00216DB9">
            <w:pPr>
              <w:pStyle w:val="TableRow"/>
              <w:rPr>
                <w:sz w:val="22"/>
                <w:szCs w:val="22"/>
              </w:rPr>
            </w:pPr>
            <w:r w:rsidRPr="00211373">
              <w:rPr>
                <w:sz w:val="22"/>
                <w:szCs w:val="22"/>
              </w:rPr>
              <w:t xml:space="preserve">1:1 and small group tutoring </w:t>
            </w:r>
            <w:r>
              <w:rPr>
                <w:sz w:val="22"/>
                <w:szCs w:val="22"/>
              </w:rPr>
              <w:t xml:space="preserve">by expert teacher for year 3 </w:t>
            </w:r>
          </w:p>
          <w:p w14:paraId="7C2C431D" w14:textId="36CEFF4B" w:rsidR="003601EB" w:rsidRPr="00211373" w:rsidRDefault="006F3E37" w:rsidP="003601EB">
            <w:pPr>
              <w:pStyle w:val="TableRow"/>
              <w:rPr>
                <w:sz w:val="22"/>
                <w:szCs w:val="22"/>
              </w:rPr>
            </w:pPr>
            <w:r>
              <w:rPr>
                <w:sz w:val="22"/>
                <w:szCs w:val="22"/>
              </w:rPr>
              <w:t>Reading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4917A5B2" w14:textId="58A61A15"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88BD" w14:textId="5EAC4D5B" w:rsidR="006F3E37" w:rsidRPr="00211373" w:rsidRDefault="006F3E37">
            <w:pPr>
              <w:pStyle w:val="TableRowCentered"/>
              <w:jc w:val="left"/>
              <w:rPr>
                <w:sz w:val="22"/>
                <w:szCs w:val="22"/>
              </w:rPr>
            </w:pPr>
            <w:r>
              <w:rPr>
                <w:sz w:val="22"/>
                <w:szCs w:val="22"/>
              </w:rPr>
              <w:t>3/4</w:t>
            </w:r>
          </w:p>
        </w:tc>
      </w:tr>
      <w:tr w:rsidR="006F3E37" w14:paraId="52A76FFC"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AC103" w14:textId="238F44B7" w:rsidR="006F3E37" w:rsidRPr="00211373" w:rsidRDefault="006F3E37">
            <w:pPr>
              <w:pStyle w:val="TableRow"/>
              <w:rPr>
                <w:sz w:val="22"/>
                <w:szCs w:val="22"/>
              </w:rPr>
            </w:pPr>
            <w:r>
              <w:rPr>
                <w:sz w:val="22"/>
                <w:szCs w:val="22"/>
              </w:rPr>
              <w:t>Y2 Phonics intervention for early readers</w:t>
            </w:r>
            <w:r w:rsidR="003601EB">
              <w:rPr>
                <w:sz w:val="22"/>
                <w:szCs w:val="22"/>
              </w:rPr>
              <w:t xml:space="preserve"> using tutoring</w:t>
            </w: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6D9B67C1" w14:textId="77438971"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44E1" w14:textId="627CA603" w:rsidR="006F3E37" w:rsidRPr="00211373" w:rsidRDefault="006F3E37">
            <w:pPr>
              <w:pStyle w:val="TableRowCentered"/>
              <w:jc w:val="left"/>
              <w:rPr>
                <w:sz w:val="22"/>
                <w:szCs w:val="22"/>
              </w:rPr>
            </w:pPr>
            <w:r>
              <w:rPr>
                <w:sz w:val="22"/>
                <w:szCs w:val="22"/>
              </w:rPr>
              <w:t>3/4</w:t>
            </w:r>
          </w:p>
        </w:tc>
      </w:tr>
      <w:tr w:rsidR="006F3E37" w14:paraId="2DE1810D"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985A" w14:textId="77777777" w:rsidR="006F3E37" w:rsidRPr="003601EB" w:rsidRDefault="006F3E37">
            <w:pPr>
              <w:pStyle w:val="TableRow"/>
              <w:rPr>
                <w:rFonts w:cs="Arial"/>
                <w:sz w:val="22"/>
                <w:szCs w:val="22"/>
              </w:rPr>
            </w:pPr>
            <w:r w:rsidRPr="003601EB">
              <w:rPr>
                <w:rFonts w:cs="Arial"/>
                <w:sz w:val="22"/>
                <w:szCs w:val="22"/>
              </w:rPr>
              <w:t>Y1 Phonics intervention for early readers</w:t>
            </w:r>
          </w:p>
          <w:p w14:paraId="35016273" w14:textId="65AC7DAD" w:rsidR="003601EB" w:rsidRPr="003601EB" w:rsidRDefault="003601EB" w:rsidP="003601EB">
            <w:pPr>
              <w:pStyle w:val="Tabletext-left"/>
              <w:spacing w:before="0" w:after="0"/>
              <w:rPr>
                <w:rFonts w:ascii="Arial" w:hAnsi="Arial" w:cs="Arial"/>
                <w:szCs w:val="22"/>
              </w:rPr>
            </w:pPr>
            <w:r w:rsidRPr="003601EB">
              <w:rPr>
                <w:rFonts w:ascii="Arial" w:hAnsi="Arial" w:cs="Arial"/>
                <w:szCs w:val="22"/>
              </w:rPr>
              <w:t>Year 1 additional phonics support targeted to children with poor attendance and with difficulties in reading. Almost 80% of these children identified as FSM or vulnerable. Reading/phonics every morning for 14 weeks – 5 x 30min sessions before school x 4 x phonics expert</w:t>
            </w:r>
            <w:r>
              <w:rPr>
                <w:rFonts w:ascii="Arial" w:hAnsi="Arial" w:cs="Arial"/>
                <w:szCs w:val="22"/>
              </w:rPr>
              <w:t xml:space="preserve"> TAs</w:t>
            </w:r>
          </w:p>
          <w:p w14:paraId="6F4B2394" w14:textId="5D8D8E4F" w:rsidR="003601EB" w:rsidRPr="003601EB" w:rsidRDefault="003601EB" w:rsidP="003601EB">
            <w:pPr>
              <w:pStyle w:val="Tabletext-left"/>
              <w:spacing w:before="0" w:after="0"/>
              <w:rPr>
                <w:rFonts w:ascii="Arial" w:hAnsi="Arial" w:cs="Arial"/>
                <w:b/>
                <w:szCs w:val="22"/>
              </w:rPr>
            </w:pPr>
          </w:p>
        </w:tc>
        <w:tc>
          <w:tcPr>
            <w:tcW w:w="5669" w:type="dxa"/>
            <w:vMerge/>
            <w:tcBorders>
              <w:left w:val="single" w:sz="4" w:space="0" w:color="000000"/>
              <w:right w:val="single" w:sz="4" w:space="0" w:color="000000"/>
            </w:tcBorders>
            <w:shd w:val="clear" w:color="auto" w:fill="auto"/>
            <w:tcMar>
              <w:top w:w="0" w:type="dxa"/>
              <w:left w:w="108" w:type="dxa"/>
              <w:bottom w:w="0" w:type="dxa"/>
              <w:right w:w="108" w:type="dxa"/>
            </w:tcMar>
          </w:tcPr>
          <w:p w14:paraId="30A0D370" w14:textId="77777777"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C2E1B" w14:textId="21F4F1DE" w:rsidR="006F3E37" w:rsidRPr="00211373" w:rsidRDefault="006F3E37">
            <w:pPr>
              <w:pStyle w:val="TableRowCentered"/>
              <w:jc w:val="left"/>
              <w:rPr>
                <w:sz w:val="22"/>
                <w:szCs w:val="22"/>
              </w:rPr>
            </w:pPr>
            <w:r>
              <w:rPr>
                <w:sz w:val="22"/>
                <w:szCs w:val="22"/>
              </w:rPr>
              <w:t>3/4</w:t>
            </w:r>
          </w:p>
        </w:tc>
      </w:tr>
      <w:tr w:rsidR="006F3E37" w14:paraId="01D9833B" w14:textId="77777777" w:rsidTr="00790301">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11B34" w14:textId="77777777" w:rsidR="006F3E37" w:rsidRDefault="006F3E37">
            <w:pPr>
              <w:pStyle w:val="TableRow"/>
              <w:rPr>
                <w:sz w:val="22"/>
                <w:szCs w:val="22"/>
              </w:rPr>
            </w:pPr>
            <w:r>
              <w:rPr>
                <w:sz w:val="22"/>
                <w:szCs w:val="22"/>
              </w:rPr>
              <w:t>Additional SEND support outside of notional funding and EHCs (includes some speech and language provision)</w:t>
            </w:r>
          </w:p>
          <w:p w14:paraId="207D5829" w14:textId="74DAA54A" w:rsidR="003601EB" w:rsidRDefault="003601EB" w:rsidP="003601EB">
            <w:pPr>
              <w:pStyle w:val="Tableheader-top"/>
              <w:jc w:val="left"/>
              <w:rPr>
                <w:rFonts w:ascii="Arial" w:hAnsi="Arial" w:cs="Arial"/>
                <w:b w:val="0"/>
                <w:color w:val="auto"/>
                <w:szCs w:val="22"/>
              </w:rPr>
            </w:pPr>
            <w:r w:rsidRPr="003601EB">
              <w:rPr>
                <w:rFonts w:ascii="Arial" w:hAnsi="Arial" w:cs="Arial"/>
                <w:b w:val="0"/>
                <w:color w:val="auto"/>
                <w:szCs w:val="22"/>
              </w:rPr>
              <w:t>Speech and Language Support to help 33 children that have missed early phonics but are not SEND. Training delivered within school set</w:t>
            </w:r>
            <w:r w:rsidRPr="003601EB">
              <w:rPr>
                <w:rFonts w:ascii="Arial" w:hAnsi="Arial" w:cs="Arial"/>
                <w:b w:val="0"/>
                <w:color w:val="auto"/>
                <w:szCs w:val="22"/>
              </w:rPr>
              <w:lastRenderedPageBreak/>
              <w:t xml:space="preserve">ting and written programmes. Cost of therapist/year. </w:t>
            </w:r>
          </w:p>
          <w:p w14:paraId="03040491" w14:textId="4C2FEBBE" w:rsidR="00CB4829" w:rsidRDefault="00CB4829" w:rsidP="003601EB">
            <w:pPr>
              <w:pStyle w:val="Tableheader-top"/>
              <w:jc w:val="left"/>
              <w:rPr>
                <w:rFonts w:ascii="Arial" w:hAnsi="Arial" w:cs="Arial"/>
                <w:b w:val="0"/>
                <w:color w:val="auto"/>
                <w:szCs w:val="22"/>
              </w:rPr>
            </w:pPr>
          </w:p>
          <w:p w14:paraId="6573B349" w14:textId="77777777" w:rsidR="00CB4829" w:rsidRPr="003601EB" w:rsidRDefault="00CB4829" w:rsidP="003601EB">
            <w:pPr>
              <w:pStyle w:val="Tableheader-top"/>
              <w:jc w:val="left"/>
              <w:rPr>
                <w:rFonts w:ascii="Arial" w:hAnsi="Arial" w:cs="Arial"/>
                <w:b w:val="0"/>
                <w:color w:val="auto"/>
                <w:szCs w:val="22"/>
              </w:rPr>
            </w:pPr>
          </w:p>
          <w:p w14:paraId="3F208EE3" w14:textId="037E153B" w:rsidR="003601EB" w:rsidRPr="00211373" w:rsidRDefault="003601EB">
            <w:pPr>
              <w:pStyle w:val="TableRow"/>
              <w:rPr>
                <w:sz w:val="22"/>
                <w:szCs w:val="22"/>
              </w:rPr>
            </w:pPr>
          </w:p>
        </w:tc>
        <w:tc>
          <w:tcPr>
            <w:tcW w:w="56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67906" w14:textId="77777777" w:rsidR="006F3E37" w:rsidRPr="00211373" w:rsidRDefault="006F3E37">
            <w:pPr>
              <w:pStyle w:val="TableRowCentered"/>
              <w:jc w:val="left"/>
              <w:rPr>
                <w:sz w:val="22"/>
                <w:szCs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BDDB" w14:textId="77777777" w:rsidR="006F3E37" w:rsidRPr="00211373" w:rsidRDefault="006F3E37">
            <w:pPr>
              <w:pStyle w:val="TableRowCentered"/>
              <w:jc w:val="left"/>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46FC8B0" w:rsidR="00E66558" w:rsidRPr="0005345E" w:rsidRDefault="009D71E8">
      <w:pPr>
        <w:spacing w:before="240" w:after="120"/>
        <w:rPr>
          <w:b/>
        </w:rPr>
      </w:pPr>
      <w:r w:rsidRPr="0005345E">
        <w:rPr>
          <w:b/>
        </w:rPr>
        <w:t>Budgeted cost: £</w:t>
      </w:r>
      <w:r w:rsidR="0005345E" w:rsidRPr="0005345E">
        <w:rPr>
          <w:b/>
        </w:rPr>
        <w:t>131,800</w:t>
      </w:r>
    </w:p>
    <w:tbl>
      <w:tblPr>
        <w:tblW w:w="5000" w:type="pct"/>
        <w:tblCellMar>
          <w:left w:w="10" w:type="dxa"/>
          <w:right w:w="10" w:type="dxa"/>
        </w:tblCellMar>
        <w:tblLook w:val="04A0" w:firstRow="1" w:lastRow="0" w:firstColumn="1" w:lastColumn="0" w:noHBand="0" w:noVBand="1"/>
      </w:tblPr>
      <w:tblGrid>
        <w:gridCol w:w="2621"/>
        <w:gridCol w:w="5734"/>
        <w:gridCol w:w="1131"/>
      </w:tblGrid>
      <w:tr w:rsidR="00E66558" w14:paraId="2A7D5537" w14:textId="77777777" w:rsidTr="00D443F5">
        <w:tc>
          <w:tcPr>
            <w:tcW w:w="26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7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A2D3A" w:rsidRDefault="009D71E8">
            <w:pPr>
              <w:pStyle w:val="TableHeader"/>
              <w:jc w:val="left"/>
              <w:rPr>
                <w:sz w:val="16"/>
                <w:szCs w:val="16"/>
              </w:rPr>
            </w:pPr>
            <w:r w:rsidRPr="006A2D3A">
              <w:rPr>
                <w:sz w:val="16"/>
                <w:szCs w:val="16"/>
              </w:rPr>
              <w:t>Challenge number(s) addressed</w:t>
            </w:r>
          </w:p>
        </w:tc>
      </w:tr>
      <w:tr w:rsidR="00120C2E" w14:paraId="3DEDD55D" w14:textId="77777777" w:rsidTr="00790301">
        <w:tc>
          <w:tcPr>
            <w:tcW w:w="262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E49DDA" w14:textId="5A0BBA7F" w:rsidR="00120C2E" w:rsidRDefault="00120C2E" w:rsidP="00A26AED">
            <w:pPr>
              <w:pStyle w:val="TableRow"/>
            </w:pPr>
            <w:r w:rsidRPr="00517F6B">
              <w:t>Pastoral support</w:t>
            </w:r>
            <w:r>
              <w:t>, including:</w:t>
            </w:r>
          </w:p>
          <w:p w14:paraId="3D8895D4" w14:textId="77777777" w:rsidR="00120C2E" w:rsidRDefault="00120C2E" w:rsidP="00A26AED">
            <w:pPr>
              <w:pStyle w:val="TableRow"/>
            </w:pPr>
            <w:r>
              <w:t xml:space="preserve">1x Full-time (DSL) Designated Safeguarding Lead </w:t>
            </w:r>
          </w:p>
          <w:p w14:paraId="693ABB91" w14:textId="77777777" w:rsidR="00120C2E" w:rsidRDefault="00120C2E" w:rsidP="00A26AED">
            <w:pPr>
              <w:pStyle w:val="TableRow"/>
            </w:pPr>
            <w:r>
              <w:t xml:space="preserve">4x additional DSLs to support </w:t>
            </w:r>
          </w:p>
          <w:p w14:paraId="446AB1D5" w14:textId="77777777" w:rsidR="00120C2E" w:rsidRDefault="00120C2E" w:rsidP="009F5217">
            <w:pPr>
              <w:pStyle w:val="TableRow"/>
            </w:pPr>
            <w:r>
              <w:t>Parent Support Advisor and Attendance Officer</w:t>
            </w:r>
          </w:p>
          <w:p w14:paraId="0D3A9EDE" w14:textId="77777777" w:rsidR="00120C2E" w:rsidRDefault="00120C2E" w:rsidP="00A26AED">
            <w:pPr>
              <w:pStyle w:val="TableRow"/>
            </w:pPr>
          </w:p>
          <w:p w14:paraId="1CED616C" w14:textId="18AB4731" w:rsidR="00120C2E" w:rsidRDefault="00120C2E" w:rsidP="00A26AED">
            <w:pPr>
              <w:pStyle w:val="TableRow"/>
            </w:pPr>
            <w:r>
              <w:t>Training required for DSLs</w:t>
            </w:r>
          </w:p>
          <w:p w14:paraId="7DD6DB25" w14:textId="36A20B0F" w:rsidR="00120C2E" w:rsidRDefault="00120C2E" w:rsidP="00A26AED">
            <w:pPr>
              <w:pStyle w:val="TableRow"/>
            </w:pPr>
          </w:p>
          <w:p w14:paraId="69AF2009" w14:textId="1D11D40B" w:rsidR="00120C2E" w:rsidRDefault="00120C2E" w:rsidP="00A26AED">
            <w:pPr>
              <w:pStyle w:val="TableRow"/>
            </w:pPr>
            <w:r>
              <w:t xml:space="preserve">Supervision for DSL </w:t>
            </w:r>
          </w:p>
          <w:p w14:paraId="50005E4C" w14:textId="392E5B35" w:rsidR="00120C2E" w:rsidRDefault="00120C2E" w:rsidP="00A26AED">
            <w:pPr>
              <w:pStyle w:val="TableRow"/>
            </w:pPr>
          </w:p>
          <w:p w14:paraId="426DD2AD" w14:textId="748411C8" w:rsidR="00120C2E" w:rsidRDefault="00120C2E" w:rsidP="00A26AED">
            <w:pPr>
              <w:pStyle w:val="TableRow"/>
            </w:pPr>
            <w:r>
              <w:t xml:space="preserve">Early Help CAF support </w:t>
            </w:r>
          </w:p>
          <w:p w14:paraId="09AB14B4" w14:textId="655DDF22" w:rsidR="00120C2E" w:rsidRDefault="00120C2E" w:rsidP="00A26AED">
            <w:pPr>
              <w:pStyle w:val="TableRow"/>
            </w:pPr>
            <w:r>
              <w:t>£3000</w:t>
            </w:r>
          </w:p>
          <w:p w14:paraId="1CBAE3C6" w14:textId="77777777" w:rsidR="00120C2E" w:rsidRDefault="00120C2E">
            <w:pPr>
              <w:pStyle w:val="TableRow"/>
              <w:rPr>
                <w:sz w:val="22"/>
              </w:rPr>
            </w:pPr>
          </w:p>
          <w:p w14:paraId="2B9D268C" w14:textId="3FA21EC5" w:rsidR="00120C2E" w:rsidRDefault="00120C2E" w:rsidP="00242AFA">
            <w:pPr>
              <w:pStyle w:val="TableRow"/>
            </w:pPr>
            <w:r>
              <w:t>LBBD MASH Hub costs (SLA)</w:t>
            </w:r>
          </w:p>
          <w:p w14:paraId="46DC8866" w14:textId="77777777" w:rsidR="00120C2E" w:rsidRDefault="00120C2E" w:rsidP="00A26AED">
            <w:pPr>
              <w:pStyle w:val="TableRow"/>
            </w:pPr>
            <w:r>
              <w:t>BDSIP Inclusion Team costs (SLA)</w:t>
            </w:r>
          </w:p>
          <w:p w14:paraId="0D3042CC" w14:textId="77777777" w:rsidR="00120C2E" w:rsidRDefault="00120C2E">
            <w:pPr>
              <w:pStyle w:val="TableRow"/>
              <w:rPr>
                <w:sz w:val="22"/>
              </w:rPr>
            </w:pPr>
          </w:p>
          <w:p w14:paraId="7DF726AF" w14:textId="5D46199B" w:rsidR="00120C2E" w:rsidRDefault="00120C2E">
            <w:pPr>
              <w:pStyle w:val="TableRow"/>
            </w:pPr>
            <w:r w:rsidRPr="00A26AED">
              <w:t xml:space="preserve">EAL support </w:t>
            </w:r>
            <w:r>
              <w:t>costs (SLA)</w:t>
            </w:r>
          </w:p>
          <w:p w14:paraId="01CD5CB3" w14:textId="49834841" w:rsidR="00120C2E" w:rsidRDefault="00120C2E" w:rsidP="00242AFA">
            <w:pPr>
              <w:pStyle w:val="TableRow"/>
            </w:pPr>
            <w:r>
              <w:t>£3000</w:t>
            </w:r>
          </w:p>
          <w:p w14:paraId="5422022B" w14:textId="77777777" w:rsidR="00120C2E" w:rsidRDefault="00120C2E" w:rsidP="00A26AED">
            <w:pPr>
              <w:pStyle w:val="TableRow"/>
            </w:pPr>
            <w:r>
              <w:t>Counselling Service for pupils and staff</w:t>
            </w:r>
          </w:p>
          <w:p w14:paraId="77816540" w14:textId="77777777" w:rsidR="00120C2E" w:rsidRDefault="00120C2E" w:rsidP="00A26AED">
            <w:pPr>
              <w:pStyle w:val="TableRow"/>
            </w:pPr>
          </w:p>
          <w:p w14:paraId="34C19D49" w14:textId="77777777" w:rsidR="00120C2E" w:rsidRDefault="00120C2E" w:rsidP="00A26AED">
            <w:pPr>
              <w:pStyle w:val="TableRow"/>
            </w:pPr>
            <w:r>
              <w:t xml:space="preserve">Educational Psychologist Support </w:t>
            </w:r>
          </w:p>
          <w:p w14:paraId="39431CE8" w14:textId="77777777" w:rsidR="00120C2E" w:rsidRDefault="00120C2E" w:rsidP="00A26AED">
            <w:pPr>
              <w:pStyle w:val="TableRow"/>
            </w:pPr>
            <w:r>
              <w:lastRenderedPageBreak/>
              <w:t>(SLA)</w:t>
            </w:r>
          </w:p>
          <w:p w14:paraId="7A42EA6F" w14:textId="77777777" w:rsidR="00120C2E" w:rsidRDefault="00120C2E" w:rsidP="00A26AED">
            <w:pPr>
              <w:pStyle w:val="TableRow"/>
            </w:pPr>
            <w:r>
              <w:t>£7000</w:t>
            </w:r>
          </w:p>
          <w:p w14:paraId="551A4DED" w14:textId="77777777" w:rsidR="00120C2E" w:rsidRDefault="00120C2E" w:rsidP="00A26AED">
            <w:pPr>
              <w:pStyle w:val="TableRow"/>
            </w:pPr>
          </w:p>
          <w:p w14:paraId="13B40984" w14:textId="25AC171D" w:rsidR="00120C2E" w:rsidRDefault="00120C2E" w:rsidP="00A26AED">
            <w:pPr>
              <w:pStyle w:val="TableRow"/>
            </w:pPr>
            <w:r>
              <w:t>Teaching assistants in classes</w:t>
            </w:r>
          </w:p>
          <w:p w14:paraId="55FF70FA" w14:textId="77777777" w:rsidR="00120C2E" w:rsidRPr="00A26AED" w:rsidRDefault="00120C2E" w:rsidP="00A26AED">
            <w:pPr>
              <w:pStyle w:val="TableRow"/>
            </w:pPr>
          </w:p>
          <w:p w14:paraId="7CDDBACE" w14:textId="77777777" w:rsidR="00120C2E" w:rsidRDefault="00120C2E" w:rsidP="00A26AED">
            <w:pPr>
              <w:pStyle w:val="TableRow"/>
            </w:pPr>
            <w:r>
              <w:t xml:space="preserve">Farm upkeep costs </w:t>
            </w:r>
          </w:p>
          <w:p w14:paraId="61547755" w14:textId="77777777" w:rsidR="00120C2E" w:rsidRDefault="00120C2E" w:rsidP="00A26AED">
            <w:pPr>
              <w:pStyle w:val="TableRow"/>
            </w:pPr>
          </w:p>
          <w:p w14:paraId="0072D385" w14:textId="77777777" w:rsidR="00120C2E" w:rsidRDefault="00120C2E" w:rsidP="00A26AED">
            <w:pPr>
              <w:pStyle w:val="TableRow"/>
            </w:pPr>
            <w:r>
              <w:t xml:space="preserve">Lunchtime provision for children with behavioural difficulties </w:t>
            </w:r>
          </w:p>
          <w:p w14:paraId="50294E69" w14:textId="77777777" w:rsidR="00120C2E" w:rsidRDefault="00120C2E" w:rsidP="00A26AED">
            <w:pPr>
              <w:pStyle w:val="TableRow"/>
            </w:pPr>
          </w:p>
          <w:p w14:paraId="5BB1FBB8" w14:textId="77777777" w:rsidR="00120C2E" w:rsidRDefault="00120C2E" w:rsidP="00A26AED">
            <w:pPr>
              <w:pStyle w:val="TableRow"/>
            </w:pPr>
            <w:r>
              <w:t>MDA staffing of lunchtime provision</w:t>
            </w:r>
          </w:p>
          <w:p w14:paraId="5612A486" w14:textId="77777777" w:rsidR="00120C2E" w:rsidRDefault="00120C2E" w:rsidP="00A26AED">
            <w:pPr>
              <w:pStyle w:val="TableRow"/>
            </w:pPr>
          </w:p>
          <w:p w14:paraId="243E8AFD" w14:textId="77777777" w:rsidR="00120C2E" w:rsidRDefault="00120C2E" w:rsidP="00A26AED">
            <w:pPr>
              <w:pStyle w:val="TableRow"/>
            </w:pPr>
            <w:r>
              <w:t>Equipment for above lunchtime provision</w:t>
            </w:r>
          </w:p>
          <w:p w14:paraId="0E66CB61" w14:textId="77777777" w:rsidR="00120C2E" w:rsidRDefault="00120C2E" w:rsidP="00A26AED">
            <w:pPr>
              <w:pStyle w:val="TableRow"/>
            </w:pPr>
          </w:p>
          <w:p w14:paraId="605DD9C4" w14:textId="4F9FC700" w:rsidR="00120C2E" w:rsidRPr="00A26AED" w:rsidRDefault="00120C2E" w:rsidP="00242AFA">
            <w:pPr>
              <w:pStyle w:val="TableRow"/>
            </w:pPr>
            <w:r>
              <w:t xml:space="preserve">Sensory room resources x3 sets </w:t>
            </w:r>
          </w:p>
        </w:tc>
        <w:tc>
          <w:tcPr>
            <w:tcW w:w="57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FD9005" w14:textId="77777777" w:rsidR="00120C2E" w:rsidRPr="00764B77" w:rsidRDefault="00120C2E" w:rsidP="00D443F5">
            <w:pPr>
              <w:pStyle w:val="TableRowCentered"/>
              <w:ind w:left="0"/>
              <w:jc w:val="left"/>
              <w:rPr>
                <w:b/>
                <w:sz w:val="22"/>
                <w:szCs w:val="22"/>
              </w:rPr>
            </w:pPr>
            <w:r w:rsidRPr="00764B77">
              <w:rPr>
                <w:b/>
                <w:sz w:val="22"/>
                <w:szCs w:val="22"/>
              </w:rPr>
              <w:lastRenderedPageBreak/>
              <w:t>The EEF Guide to Supporting School Planning: A Tiered Approach</w:t>
            </w:r>
          </w:p>
          <w:p w14:paraId="6E8AF5CB" w14:textId="77777777" w:rsidR="00120C2E" w:rsidRDefault="00FC0CF6" w:rsidP="00D443F5">
            <w:pPr>
              <w:pStyle w:val="TableRowCentered"/>
              <w:jc w:val="left"/>
            </w:pPr>
            <w:hyperlink r:id="rId35" w:history="1">
              <w:r w:rsidR="00120C2E">
                <w:rPr>
                  <w:rStyle w:val="Hyperlink"/>
                </w:rPr>
                <w:t>The_EEF_guide_to_supporting_school_planning_-_A_tiered_approach_to_2021.pdf (educationendowmentfoundation.org.uk)</w:t>
              </w:r>
            </w:hyperlink>
          </w:p>
          <w:p w14:paraId="144E0C12" w14:textId="05B83CD0" w:rsidR="00120C2E" w:rsidRDefault="00120C2E">
            <w:pPr>
              <w:pStyle w:val="TableRowCentered"/>
              <w:jc w:val="left"/>
              <w:rPr>
                <w:sz w:val="22"/>
              </w:rPr>
            </w:pPr>
          </w:p>
          <w:p w14:paraId="08019EE7" w14:textId="26C8A1F3" w:rsidR="00120C2E" w:rsidRDefault="00120C2E">
            <w:pPr>
              <w:pStyle w:val="TableRowCentered"/>
              <w:jc w:val="left"/>
              <w:rPr>
                <w:sz w:val="22"/>
              </w:rPr>
            </w:pPr>
            <w:r>
              <w:rPr>
                <w:sz w:val="22"/>
              </w:rPr>
              <w:t>and</w:t>
            </w:r>
          </w:p>
          <w:p w14:paraId="0436C184" w14:textId="77777777" w:rsidR="00120C2E" w:rsidRDefault="00FC0CF6">
            <w:pPr>
              <w:pStyle w:val="TableRowCentered"/>
              <w:jc w:val="left"/>
            </w:pPr>
            <w:hyperlink r:id="rId36" w:history="1">
              <w:r w:rsidR="00120C2E">
                <w:rPr>
                  <w:rStyle w:val="Hyperlink"/>
                </w:rPr>
                <w:t>Pupil premium - GOV.UK (www.gov.uk)</w:t>
              </w:r>
            </w:hyperlink>
          </w:p>
          <w:p w14:paraId="01E02E8F" w14:textId="77777777" w:rsidR="00120C2E" w:rsidRDefault="00120C2E">
            <w:pPr>
              <w:pStyle w:val="TableRowCentered"/>
              <w:jc w:val="left"/>
              <w:rPr>
                <w:sz w:val="22"/>
              </w:rPr>
            </w:pPr>
          </w:p>
          <w:p w14:paraId="56B087C2" w14:textId="315858F5" w:rsidR="00120C2E" w:rsidRPr="006F3E37" w:rsidRDefault="00120C2E">
            <w:pPr>
              <w:pStyle w:val="TableRowCentered"/>
              <w:jc w:val="left"/>
              <w:rPr>
                <w:b/>
                <w:sz w:val="22"/>
              </w:rPr>
            </w:pPr>
            <w:r w:rsidRPr="006F3E37">
              <w:rPr>
                <w:b/>
                <w:sz w:val="22"/>
              </w:rPr>
              <w:t>Relationships Between Student Engagement and Academic Achievement (</w:t>
            </w:r>
            <w:proofErr w:type="spellStart"/>
            <w:r w:rsidRPr="006F3E37">
              <w:rPr>
                <w:b/>
                <w:sz w:val="22"/>
              </w:rPr>
              <w:t>Gunuc</w:t>
            </w:r>
            <w:proofErr w:type="spellEnd"/>
            <w:r w:rsidRPr="006F3E37">
              <w:rPr>
                <w:b/>
                <w:sz w:val="22"/>
              </w:rPr>
              <w:t>, 2013, International Journal of New Trends in Education)</w:t>
            </w:r>
          </w:p>
          <w:p w14:paraId="4CBEC89A" w14:textId="77777777" w:rsidR="00120C2E" w:rsidRDefault="00FC0CF6">
            <w:pPr>
              <w:pStyle w:val="TableRowCentered"/>
              <w:jc w:val="left"/>
            </w:pPr>
            <w:hyperlink r:id="rId37" w:anchor=":~:text=Student%20engagement%20is%20an%20important%20study%20field%20of,and%20social%20activities%20to%20achieve%20successful%20learning%20outcomes.%E2%80%9D" w:history="1">
              <w:r w:rsidR="00120C2E">
                <w:rPr>
                  <w:rStyle w:val="Hyperlink"/>
                </w:rPr>
                <w:t>19.GUNUC (ijonte.org)</w:t>
              </w:r>
            </w:hyperlink>
          </w:p>
          <w:p w14:paraId="5D8B4F9E" w14:textId="77777777" w:rsidR="00120C2E" w:rsidRDefault="00120C2E">
            <w:pPr>
              <w:pStyle w:val="TableRowCentered"/>
              <w:jc w:val="left"/>
              <w:rPr>
                <w:i/>
                <w:sz w:val="22"/>
                <w:szCs w:val="22"/>
              </w:rPr>
            </w:pPr>
            <w:r w:rsidRPr="006F3E37">
              <w:rPr>
                <w:i/>
                <w:sz w:val="22"/>
                <w:szCs w:val="22"/>
              </w:rPr>
              <w:t>The results obtained via the analyses conducted revealed that there were significant relationships between the students’ academic achievement and student engagement as well as between their academic achievement and especially the dimensions of cognitive engagement, behavio</w:t>
            </w:r>
            <w:r>
              <w:rPr>
                <w:i/>
                <w:sz w:val="22"/>
                <w:szCs w:val="22"/>
              </w:rPr>
              <w:t>u</w:t>
            </w:r>
            <w:r w:rsidRPr="006F3E37">
              <w:rPr>
                <w:i/>
                <w:sz w:val="22"/>
                <w:szCs w:val="22"/>
              </w:rPr>
              <w:t>ral engagement and sense of belonging. In addition, it was found out that cognitive, behavio</w:t>
            </w:r>
            <w:r>
              <w:rPr>
                <w:i/>
                <w:sz w:val="22"/>
                <w:szCs w:val="22"/>
              </w:rPr>
              <w:t>u</w:t>
            </w:r>
            <w:r w:rsidRPr="006F3E37">
              <w:rPr>
                <w:i/>
                <w:sz w:val="22"/>
                <w:szCs w:val="22"/>
              </w:rPr>
              <w:t>ral and emotional engagements - that is class engagement - predicted academic achievement and explained it with a rate of 10%.</w:t>
            </w:r>
          </w:p>
          <w:p w14:paraId="219D1660" w14:textId="77777777" w:rsidR="00120C2E" w:rsidRDefault="00120C2E">
            <w:pPr>
              <w:pStyle w:val="TableRowCentered"/>
              <w:jc w:val="left"/>
              <w:rPr>
                <w:i/>
                <w:sz w:val="22"/>
                <w:szCs w:val="22"/>
              </w:rPr>
            </w:pPr>
          </w:p>
          <w:p w14:paraId="2B61E6C1" w14:textId="77777777" w:rsidR="00120C2E" w:rsidRPr="006F3E37" w:rsidRDefault="00120C2E">
            <w:pPr>
              <w:pStyle w:val="TableRowCentered"/>
              <w:jc w:val="left"/>
              <w:rPr>
                <w:b/>
                <w:sz w:val="22"/>
                <w:szCs w:val="22"/>
              </w:rPr>
            </w:pPr>
            <w:r w:rsidRPr="006F3E37">
              <w:rPr>
                <w:b/>
                <w:sz w:val="22"/>
                <w:szCs w:val="22"/>
              </w:rPr>
              <w:t>Keeping Children Safe in Education 2021</w:t>
            </w:r>
          </w:p>
          <w:p w14:paraId="069CA1DC" w14:textId="77777777" w:rsidR="00120C2E" w:rsidRDefault="00FC0CF6">
            <w:pPr>
              <w:pStyle w:val="TableRowCentered"/>
              <w:jc w:val="left"/>
            </w:pPr>
            <w:hyperlink r:id="rId38" w:history="1">
              <w:r w:rsidR="00120C2E">
                <w:rPr>
                  <w:rStyle w:val="Hyperlink"/>
                </w:rPr>
                <w:t>Keeping children safe in education 2021 (publishing.service.gov.uk)</w:t>
              </w:r>
            </w:hyperlink>
            <w:r w:rsidR="00120C2E">
              <w:t xml:space="preserve"> (page 9 – what school and college staff should look out for) </w:t>
            </w:r>
          </w:p>
          <w:p w14:paraId="34E6E2FC" w14:textId="77777777" w:rsidR="000253E6" w:rsidRDefault="000253E6">
            <w:pPr>
              <w:pStyle w:val="TableRowCentered"/>
              <w:jc w:val="left"/>
              <w:rPr>
                <w:i/>
                <w:sz w:val="22"/>
                <w:szCs w:val="22"/>
              </w:rPr>
            </w:pPr>
          </w:p>
          <w:p w14:paraId="3C7EA20A" w14:textId="3E8BBDF5" w:rsidR="000253E6" w:rsidRDefault="000253E6">
            <w:pPr>
              <w:pStyle w:val="TableRowCentered"/>
              <w:jc w:val="left"/>
              <w:rPr>
                <w:b/>
                <w:sz w:val="22"/>
                <w:szCs w:val="22"/>
              </w:rPr>
            </w:pPr>
            <w:r>
              <w:rPr>
                <w:b/>
                <w:sz w:val="22"/>
                <w:szCs w:val="22"/>
              </w:rPr>
              <w:t>Dissertation: Analysing Links Between Deprivation and School Attendance (Calderwood 2021, University of Buckingham)</w:t>
            </w:r>
          </w:p>
          <w:p w14:paraId="6AAC84F9" w14:textId="5224524E" w:rsidR="000253E6" w:rsidRDefault="00174863">
            <w:pPr>
              <w:pStyle w:val="TableRowCentered"/>
              <w:jc w:val="left"/>
              <w:rPr>
                <w:b/>
                <w:sz w:val="22"/>
                <w:szCs w:val="22"/>
              </w:rPr>
            </w:pPr>
            <w:r>
              <w:rPr>
                <w:b/>
                <w:sz w:val="22"/>
                <w:szCs w:val="22"/>
              </w:rPr>
              <w:t xml:space="preserve">And </w:t>
            </w:r>
          </w:p>
          <w:p w14:paraId="5953DA74" w14:textId="67458C42" w:rsidR="000253E6" w:rsidRDefault="000253E6">
            <w:pPr>
              <w:pStyle w:val="TableRowCentered"/>
              <w:jc w:val="left"/>
              <w:rPr>
                <w:b/>
                <w:sz w:val="22"/>
                <w:szCs w:val="22"/>
              </w:rPr>
            </w:pPr>
            <w:r w:rsidRPr="000253E6">
              <w:rPr>
                <w:b/>
                <w:sz w:val="22"/>
                <w:szCs w:val="22"/>
              </w:rPr>
              <w:t xml:space="preserve">Thesis: Reducing Persistent Absenteeism </w:t>
            </w:r>
            <w:proofErr w:type="gramStart"/>
            <w:r w:rsidRPr="000253E6">
              <w:rPr>
                <w:b/>
                <w:sz w:val="22"/>
                <w:szCs w:val="22"/>
              </w:rPr>
              <w:t>In</w:t>
            </w:r>
            <w:proofErr w:type="gramEnd"/>
            <w:r w:rsidRPr="000253E6">
              <w:rPr>
                <w:b/>
                <w:sz w:val="22"/>
                <w:szCs w:val="22"/>
              </w:rPr>
              <w:t xml:space="preserve"> Primary Schools (Calderwood 2021</w:t>
            </w:r>
            <w:r>
              <w:rPr>
                <w:b/>
                <w:sz w:val="22"/>
                <w:szCs w:val="22"/>
              </w:rPr>
              <w:t>, University of Buckingham</w:t>
            </w:r>
            <w:r w:rsidRPr="000253E6">
              <w:rPr>
                <w:b/>
                <w:sz w:val="22"/>
                <w:szCs w:val="22"/>
              </w:rPr>
              <w:t>)</w:t>
            </w:r>
          </w:p>
          <w:p w14:paraId="171496AA" w14:textId="77777777" w:rsidR="000253E6" w:rsidRDefault="000253E6">
            <w:pPr>
              <w:pStyle w:val="TableRowCentered"/>
              <w:jc w:val="left"/>
              <w:rPr>
                <w:i/>
                <w:sz w:val="22"/>
                <w:szCs w:val="22"/>
              </w:rPr>
            </w:pPr>
            <w:r w:rsidRPr="000253E6">
              <w:rPr>
                <w:i/>
                <w:sz w:val="22"/>
                <w:szCs w:val="22"/>
              </w:rPr>
              <w:lastRenderedPageBreak/>
              <w:t xml:space="preserve">The clear links between school attendance and educational outcomes make addressing persistent absenteeism a high priority for all schools. </w:t>
            </w:r>
          </w:p>
          <w:p w14:paraId="62022681" w14:textId="77777777" w:rsidR="00174863" w:rsidRDefault="00174863">
            <w:pPr>
              <w:pStyle w:val="TableRowCentered"/>
              <w:jc w:val="left"/>
              <w:rPr>
                <w:i/>
                <w:sz w:val="22"/>
                <w:szCs w:val="22"/>
              </w:rPr>
            </w:pPr>
          </w:p>
          <w:p w14:paraId="115104D7" w14:textId="0F1E3790" w:rsidR="00174863" w:rsidRDefault="00174863">
            <w:pPr>
              <w:pStyle w:val="TableRowCentered"/>
              <w:jc w:val="left"/>
              <w:rPr>
                <w:b/>
                <w:sz w:val="22"/>
                <w:szCs w:val="22"/>
              </w:rPr>
            </w:pPr>
            <w:r w:rsidRPr="00174863">
              <w:rPr>
                <w:b/>
                <w:sz w:val="22"/>
                <w:szCs w:val="22"/>
              </w:rPr>
              <w:t>Permanent Exclusions and Suspensions in England (2021)</w:t>
            </w:r>
          </w:p>
          <w:p w14:paraId="154645F0" w14:textId="56E25CBF" w:rsidR="00174863" w:rsidRPr="00174863" w:rsidRDefault="00FC0CF6">
            <w:pPr>
              <w:pStyle w:val="TableRowCentered"/>
              <w:jc w:val="left"/>
              <w:rPr>
                <w:b/>
                <w:sz w:val="22"/>
                <w:szCs w:val="22"/>
              </w:rPr>
            </w:pPr>
            <w:hyperlink r:id="rId39" w:history="1">
              <w:r w:rsidR="00174863">
                <w:rPr>
                  <w:rStyle w:val="Hyperlink"/>
                </w:rPr>
                <w:t>Permanent exclusions and suspensions in England: 2019 to 2020 - GOV.UK (www.gov.uk)</w:t>
              </w:r>
            </w:hyperlink>
          </w:p>
          <w:p w14:paraId="08349C55" w14:textId="450CE8F9" w:rsidR="00174863" w:rsidRDefault="00174863">
            <w:pPr>
              <w:pStyle w:val="TableRowCentered"/>
              <w:jc w:val="left"/>
              <w:rPr>
                <w:i/>
                <w:sz w:val="22"/>
                <w:szCs w:val="22"/>
              </w:rPr>
            </w:pPr>
          </w:p>
          <w:p w14:paraId="1B526D47" w14:textId="16FFD2E1" w:rsidR="00174863" w:rsidRPr="00174863" w:rsidRDefault="00174863">
            <w:pPr>
              <w:pStyle w:val="TableRowCentered"/>
              <w:jc w:val="left"/>
              <w:rPr>
                <w:b/>
                <w:sz w:val="22"/>
                <w:szCs w:val="22"/>
              </w:rPr>
            </w:pPr>
            <w:r w:rsidRPr="00174863">
              <w:rPr>
                <w:b/>
                <w:sz w:val="22"/>
                <w:szCs w:val="22"/>
              </w:rPr>
              <w:t>Pupil Attendance in Schools</w:t>
            </w:r>
          </w:p>
          <w:p w14:paraId="20858991" w14:textId="77777777" w:rsidR="00174863" w:rsidRDefault="00FC0CF6">
            <w:pPr>
              <w:pStyle w:val="TableRowCentered"/>
              <w:jc w:val="left"/>
            </w:pPr>
            <w:hyperlink r:id="rId40" w:history="1">
              <w:r w:rsidR="00174863">
                <w:rPr>
                  <w:rStyle w:val="Hyperlink"/>
                </w:rPr>
                <w:t>School attendance and absence - GOV.UK (www.gov.uk)</w:t>
              </w:r>
            </w:hyperlink>
          </w:p>
          <w:p w14:paraId="6DCB7874" w14:textId="208CDCB4" w:rsidR="00174863" w:rsidRDefault="00174863">
            <w:pPr>
              <w:pStyle w:val="TableRowCentered"/>
              <w:jc w:val="left"/>
              <w:rPr>
                <w:i/>
                <w:sz w:val="22"/>
                <w:szCs w:val="22"/>
              </w:rPr>
            </w:pPr>
            <w:r w:rsidRPr="00174863">
              <w:rPr>
                <w:i/>
                <w:sz w:val="22"/>
                <w:szCs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p>
          <w:p w14:paraId="56FBA60D" w14:textId="77777777" w:rsidR="00174863" w:rsidRPr="00174863" w:rsidRDefault="00174863">
            <w:pPr>
              <w:pStyle w:val="TableRowCentered"/>
              <w:jc w:val="left"/>
              <w:rPr>
                <w:i/>
                <w:sz w:val="22"/>
                <w:szCs w:val="22"/>
              </w:rPr>
            </w:pPr>
          </w:p>
          <w:p w14:paraId="08E48E70" w14:textId="36AAAD25" w:rsidR="00174863" w:rsidRPr="00174863" w:rsidRDefault="00174863">
            <w:pPr>
              <w:pStyle w:val="TableRowCentered"/>
              <w:jc w:val="left"/>
              <w:rPr>
                <w:b/>
                <w:sz w:val="22"/>
                <w:szCs w:val="22"/>
              </w:rPr>
            </w:pPr>
            <w:r w:rsidRPr="00174863">
              <w:rPr>
                <w:b/>
                <w:sz w:val="22"/>
                <w:szCs w:val="22"/>
              </w:rPr>
              <w:t xml:space="preserve">Children Missing Education 2016 </w:t>
            </w:r>
          </w:p>
          <w:p w14:paraId="79E7CE94" w14:textId="77777777" w:rsidR="00174863" w:rsidRDefault="00FC0CF6">
            <w:pPr>
              <w:pStyle w:val="TableRowCentered"/>
              <w:jc w:val="left"/>
            </w:pPr>
            <w:hyperlink r:id="rId41" w:history="1">
              <w:r w:rsidR="00174863">
                <w:rPr>
                  <w:rStyle w:val="Hyperlink"/>
                </w:rPr>
                <w:t>Stat guidance template (publishing.service.gov.uk)</w:t>
              </w:r>
            </w:hyperlink>
          </w:p>
          <w:p w14:paraId="3D5080BC" w14:textId="77777777" w:rsidR="00174863" w:rsidRDefault="00174863">
            <w:pPr>
              <w:pStyle w:val="TableRowCentered"/>
              <w:jc w:val="left"/>
              <w:rPr>
                <w:i/>
                <w:sz w:val="22"/>
                <w:szCs w:val="22"/>
              </w:rPr>
            </w:pPr>
          </w:p>
          <w:p w14:paraId="6CD02FDE" w14:textId="383557FB" w:rsidR="00174863" w:rsidRDefault="00174863">
            <w:pPr>
              <w:pStyle w:val="TableRowCentered"/>
              <w:jc w:val="left"/>
              <w:rPr>
                <w:i/>
                <w:sz w:val="22"/>
                <w:szCs w:val="22"/>
              </w:rPr>
            </w:pPr>
            <w:r w:rsidRPr="00174863">
              <w:rPr>
                <w:b/>
                <w:sz w:val="22"/>
                <w:szCs w:val="22"/>
              </w:rPr>
              <w:t>School exclusions: a literature review on the continued disproportionate exclusions of certain children</w:t>
            </w:r>
          </w:p>
          <w:p w14:paraId="094E390C" w14:textId="77777777" w:rsidR="00174863" w:rsidRDefault="00FC0CF6">
            <w:pPr>
              <w:pStyle w:val="TableRowCentered"/>
              <w:jc w:val="left"/>
            </w:pPr>
            <w:hyperlink r:id="rId42" w:history="1">
              <w:r w:rsidR="00174863">
                <w:rPr>
                  <w:rStyle w:val="Hyperlink"/>
                </w:rPr>
                <w:t>School exclusions: a literature review on the continued disproportionate exclusions of certain children (publishing.service.gov.uk)</w:t>
              </w:r>
            </w:hyperlink>
          </w:p>
          <w:p w14:paraId="0B781F47" w14:textId="765CDEAE" w:rsidR="00174863" w:rsidRPr="00174863" w:rsidRDefault="00174863">
            <w:pPr>
              <w:pStyle w:val="TableRowCentered"/>
              <w:jc w:val="left"/>
              <w:rPr>
                <w:i/>
                <w:sz w:val="22"/>
                <w:szCs w:val="22"/>
              </w:rPr>
            </w:pPr>
            <w:r w:rsidRPr="00174863">
              <w:rPr>
                <w:i/>
                <w:sz w:val="22"/>
                <w:szCs w:val="22"/>
              </w:rPr>
              <w:t>The extent to which pupils felt they ‘belonged’ in a school was identified as critical in some of the research. This included feeling valued as an individual, having good relationships with peers and teachers, and feeling that their needs were understood and addressed. The higher exclusion rates of pupils with SEMH and additional needs appeared from the research in this literature review to reflect challenges faced by schools and staff in identifying and meeting these needs. This was said to be aggravated by reduced school funding and limited scope to buy in specialist support.</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AFED" w14:textId="2D393C73" w:rsidR="00120C2E" w:rsidRPr="00517F6B" w:rsidRDefault="00120C2E">
            <w:pPr>
              <w:pStyle w:val="TableRowCentered"/>
              <w:jc w:val="left"/>
              <w:rPr>
                <w:sz w:val="22"/>
              </w:rPr>
            </w:pPr>
            <w:r>
              <w:rPr>
                <w:sz w:val="22"/>
              </w:rPr>
              <w:lastRenderedPageBreak/>
              <w:t>1/2</w:t>
            </w:r>
          </w:p>
        </w:tc>
      </w:tr>
      <w:tr w:rsidR="00120C2E" w14:paraId="36BA6049" w14:textId="77777777" w:rsidTr="00790301">
        <w:tc>
          <w:tcPr>
            <w:tcW w:w="262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D1718" w14:textId="6CC6D8AD" w:rsidR="00120C2E" w:rsidRPr="00A26AED" w:rsidRDefault="00120C2E" w:rsidP="00A26AED">
            <w:pPr>
              <w:pStyle w:val="TableRow"/>
            </w:pPr>
          </w:p>
        </w:tc>
        <w:tc>
          <w:tcPr>
            <w:tcW w:w="5734" w:type="dxa"/>
            <w:vMerge/>
            <w:tcBorders>
              <w:left w:val="single" w:sz="4" w:space="0" w:color="000000"/>
              <w:right w:val="single" w:sz="4" w:space="0" w:color="000000"/>
            </w:tcBorders>
            <w:shd w:val="clear" w:color="auto" w:fill="auto"/>
            <w:tcMar>
              <w:top w:w="0" w:type="dxa"/>
              <w:left w:w="108" w:type="dxa"/>
              <w:bottom w:w="0" w:type="dxa"/>
              <w:right w:w="108" w:type="dxa"/>
            </w:tcMar>
          </w:tcPr>
          <w:p w14:paraId="3DCBE6BC" w14:textId="77777777" w:rsidR="00120C2E" w:rsidRPr="00517F6B" w:rsidRDefault="00120C2E">
            <w:pPr>
              <w:pStyle w:val="TableRowCentered"/>
              <w:jc w:val="left"/>
              <w:rPr>
                <w:sz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8D3E" w14:textId="1FDAA425" w:rsidR="00120C2E" w:rsidRPr="00517F6B" w:rsidRDefault="00120C2E">
            <w:pPr>
              <w:pStyle w:val="TableRowCentered"/>
              <w:jc w:val="left"/>
              <w:rPr>
                <w:sz w:val="22"/>
              </w:rPr>
            </w:pPr>
            <w:r>
              <w:rPr>
                <w:sz w:val="22"/>
              </w:rPr>
              <w:t>1/2/4</w:t>
            </w:r>
          </w:p>
        </w:tc>
      </w:tr>
      <w:tr w:rsidR="00120C2E" w14:paraId="5EABC203" w14:textId="77777777" w:rsidTr="00D443F5">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CA56A" w14:textId="3BF8B761" w:rsidR="00120C2E" w:rsidRPr="00242AFA" w:rsidRDefault="00120C2E" w:rsidP="00242AFA">
            <w:pPr>
              <w:pStyle w:val="TableRow"/>
            </w:pPr>
            <w:r>
              <w:t>Attendance awards, including end of year awards</w:t>
            </w:r>
          </w:p>
        </w:tc>
        <w:tc>
          <w:tcPr>
            <w:tcW w:w="5734" w:type="dxa"/>
            <w:vMerge/>
            <w:tcBorders>
              <w:left w:val="single" w:sz="4" w:space="0" w:color="000000"/>
              <w:right w:val="single" w:sz="4" w:space="0" w:color="000000"/>
            </w:tcBorders>
            <w:shd w:val="clear" w:color="auto" w:fill="auto"/>
            <w:tcMar>
              <w:top w:w="0" w:type="dxa"/>
              <w:left w:w="108" w:type="dxa"/>
              <w:bottom w:w="0" w:type="dxa"/>
              <w:right w:w="108" w:type="dxa"/>
            </w:tcMar>
          </w:tcPr>
          <w:p w14:paraId="2B32A5A1" w14:textId="77777777" w:rsidR="00120C2E" w:rsidRPr="00517F6B" w:rsidRDefault="00120C2E">
            <w:pPr>
              <w:pStyle w:val="TableRowCentered"/>
              <w:jc w:val="left"/>
              <w:rPr>
                <w:sz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EE53" w14:textId="26433036" w:rsidR="00120C2E" w:rsidRPr="00517F6B" w:rsidRDefault="00120C2E">
            <w:pPr>
              <w:pStyle w:val="TableRowCentered"/>
              <w:jc w:val="left"/>
              <w:rPr>
                <w:sz w:val="22"/>
              </w:rPr>
            </w:pPr>
            <w:r>
              <w:rPr>
                <w:sz w:val="22"/>
              </w:rPr>
              <w:t>1/2/4</w:t>
            </w:r>
          </w:p>
        </w:tc>
      </w:tr>
      <w:tr w:rsidR="00120C2E" w14:paraId="0681F608" w14:textId="77777777" w:rsidTr="00790301">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2FA0" w14:textId="61892871" w:rsidR="00120C2E" w:rsidRDefault="00120C2E">
            <w:pPr>
              <w:pStyle w:val="TableRow"/>
            </w:pPr>
            <w:r>
              <w:t xml:space="preserve">School Supplementation of trip and visit costs to reduce overall costs for </w:t>
            </w:r>
            <w:r w:rsidRPr="00E90A30">
              <w:rPr>
                <w:b/>
              </w:rPr>
              <w:t>all</w:t>
            </w:r>
            <w:r>
              <w:t xml:space="preserve"> parents </w:t>
            </w:r>
          </w:p>
          <w:p w14:paraId="7E3EE173" w14:textId="5DCF736F" w:rsidR="00120C2E" w:rsidRPr="00242AFA" w:rsidRDefault="00120C2E" w:rsidP="00242AFA">
            <w:pPr>
              <w:pStyle w:val="TableRow"/>
            </w:pPr>
            <w:r>
              <w:t>For example, cost of swimming coach in year 5 and costs covered by the school to enable trips to go ahead, when parent contributions do not cover costs.</w:t>
            </w:r>
          </w:p>
        </w:tc>
        <w:tc>
          <w:tcPr>
            <w:tcW w:w="5734" w:type="dxa"/>
            <w:vMerge/>
            <w:tcBorders>
              <w:left w:val="single" w:sz="4" w:space="0" w:color="000000"/>
              <w:right w:val="single" w:sz="4" w:space="0" w:color="000000"/>
            </w:tcBorders>
            <w:shd w:val="clear" w:color="auto" w:fill="auto"/>
            <w:tcMar>
              <w:top w:w="0" w:type="dxa"/>
              <w:left w:w="108" w:type="dxa"/>
              <w:bottom w:w="0" w:type="dxa"/>
              <w:right w:w="108" w:type="dxa"/>
            </w:tcMar>
          </w:tcPr>
          <w:p w14:paraId="4D5BFC5A" w14:textId="77777777" w:rsidR="00120C2E" w:rsidRPr="00517F6B" w:rsidRDefault="00120C2E">
            <w:pPr>
              <w:pStyle w:val="TableRowCentered"/>
              <w:jc w:val="left"/>
              <w:rPr>
                <w:sz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CE109" w14:textId="34526493" w:rsidR="00120C2E" w:rsidRPr="00517F6B" w:rsidRDefault="00120C2E">
            <w:pPr>
              <w:pStyle w:val="TableRowCentered"/>
              <w:jc w:val="left"/>
              <w:rPr>
                <w:sz w:val="22"/>
              </w:rPr>
            </w:pPr>
            <w:r>
              <w:rPr>
                <w:sz w:val="22"/>
              </w:rPr>
              <w:t>2/3/4</w:t>
            </w:r>
          </w:p>
        </w:tc>
      </w:tr>
      <w:tr w:rsidR="00120C2E" w14:paraId="75270FB4" w14:textId="77777777" w:rsidTr="00790301">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849A1" w14:textId="3EAADD4D" w:rsidR="00120C2E" w:rsidRPr="00A26AED" w:rsidRDefault="00120C2E" w:rsidP="00242AFA">
            <w:pPr>
              <w:pStyle w:val="TableRow"/>
            </w:pPr>
            <w:r w:rsidRPr="00A26AED">
              <w:t>Extra-curricular clubs and activities</w:t>
            </w:r>
            <w:r>
              <w:t xml:space="preserve"> (Including</w:t>
            </w:r>
            <w:r w:rsidR="00242AFA">
              <w:t xml:space="preserve"> supplemented </w:t>
            </w:r>
            <w:r>
              <w:t>h</w:t>
            </w:r>
            <w:r w:rsidRPr="00A26AED">
              <w:t>oliday activity clubs</w:t>
            </w:r>
            <w:r w:rsidR="00242AFA">
              <w:t>)</w:t>
            </w:r>
          </w:p>
        </w:tc>
        <w:tc>
          <w:tcPr>
            <w:tcW w:w="57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6C39" w14:textId="77777777" w:rsidR="00120C2E" w:rsidRPr="00517F6B" w:rsidRDefault="00120C2E" w:rsidP="00A26AED">
            <w:pPr>
              <w:pStyle w:val="TableRowCentered"/>
              <w:jc w:val="left"/>
              <w:rPr>
                <w:sz w:val="22"/>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8C2B" w14:textId="35AFAEEA" w:rsidR="00120C2E" w:rsidRPr="00517F6B" w:rsidRDefault="00120C2E" w:rsidP="00A26AED">
            <w:pPr>
              <w:pStyle w:val="TableRowCentered"/>
              <w:jc w:val="left"/>
              <w:rPr>
                <w:sz w:val="22"/>
              </w:rPr>
            </w:pPr>
            <w:r>
              <w:rPr>
                <w:sz w:val="22"/>
              </w:rPr>
              <w:t>1/2/3/4</w:t>
            </w:r>
          </w:p>
        </w:tc>
      </w:tr>
    </w:tbl>
    <w:p w14:paraId="2A7D5540" w14:textId="77777777" w:rsidR="00E66558" w:rsidRDefault="00E66558">
      <w:pPr>
        <w:spacing w:before="240" w:after="0"/>
        <w:rPr>
          <w:b/>
          <w:bCs/>
          <w:color w:val="104F75"/>
          <w:sz w:val="28"/>
          <w:szCs w:val="28"/>
        </w:rPr>
      </w:pPr>
    </w:p>
    <w:p w14:paraId="2A7D5541" w14:textId="669E7B33" w:rsidR="00E66558" w:rsidRDefault="009D71E8" w:rsidP="00120AB1">
      <w:r>
        <w:rPr>
          <w:b/>
          <w:bCs/>
          <w:color w:val="104F75"/>
          <w:sz w:val="28"/>
          <w:szCs w:val="28"/>
        </w:rPr>
        <w:t>Total budgeted cost: £</w:t>
      </w:r>
      <w:r w:rsidR="00D95D98">
        <w:rPr>
          <w:b/>
          <w:bCs/>
          <w:color w:val="104F75"/>
          <w:sz w:val="28"/>
          <w:szCs w:val="28"/>
        </w:rPr>
        <w:t>313,800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43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2DA9" w14:textId="77777777" w:rsidR="0035467D" w:rsidRPr="0035467D" w:rsidRDefault="009D71E8">
            <w:pPr>
              <w:spacing w:before="120"/>
              <w:rPr>
                <w:i/>
                <w:color w:val="FF0000"/>
              </w:rPr>
            </w:pPr>
            <w:r w:rsidRPr="0035467D">
              <w:rPr>
                <w:i/>
                <w:color w:val="FF0000"/>
              </w:rPr>
              <w:t>Due to COVID-19, performance measures have not been published for 2020 to 2021, and 2020 to 2021 results will not be used to hold schools to account.</w:t>
            </w:r>
          </w:p>
          <w:p w14:paraId="748F1EA0" w14:textId="77777777" w:rsid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Pr>
                <w:rFonts w:cs="Arial"/>
                <w:color w:val="auto"/>
                <w:sz w:val="22"/>
              </w:rPr>
              <w:t>Year on year trends and progress measures indicate that pupil attainment in all groups, is significantly above the national average by the time pupils leave KS2. The school has received 4 consecutive awards from the London Mayor’s, Schools for Success Programme for the excellent progress that pupils at RGPS make from well below age related expectations, on entry to the EYFS to the end of year 6</w:t>
            </w:r>
          </w:p>
          <w:p w14:paraId="3196E400" w14:textId="77777777" w:rsid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Pr>
                <w:rFonts w:cs="Arial"/>
                <w:color w:val="auto"/>
                <w:sz w:val="22"/>
              </w:rPr>
              <w:t>RGPS pupils are secondary ready because they are given a broad and balanced curriculum that facilitates the practice of the basic skills</w:t>
            </w:r>
          </w:p>
          <w:p w14:paraId="04B5A1DB" w14:textId="77777777" w:rsid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Pr>
                <w:rFonts w:cs="Arial"/>
                <w:color w:val="auto"/>
                <w:sz w:val="22"/>
              </w:rPr>
              <w:t xml:space="preserve">Pupils have greater life chances because of this (Literacy and Life Expectancy research – 2018) </w:t>
            </w:r>
          </w:p>
          <w:p w14:paraId="470EF778" w14:textId="77777777" w:rsid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Pr>
                <w:rFonts w:cs="Arial"/>
                <w:color w:val="auto"/>
                <w:sz w:val="22"/>
              </w:rPr>
              <w:t xml:space="preserve">10% of our pupils each year now apply to go to grammar schools and over the last few years we have had 3 pupils get into private </w:t>
            </w:r>
            <w:proofErr w:type="gramStart"/>
            <w:r>
              <w:rPr>
                <w:rFonts w:cs="Arial"/>
                <w:color w:val="auto"/>
                <w:sz w:val="22"/>
              </w:rPr>
              <w:t>fee paying</w:t>
            </w:r>
            <w:proofErr w:type="gramEnd"/>
            <w:r>
              <w:rPr>
                <w:rFonts w:cs="Arial"/>
                <w:color w:val="auto"/>
                <w:sz w:val="22"/>
              </w:rPr>
              <w:t xml:space="preserve"> schools, such as Brentwood, Forest and Lord Wandsworth on full scholarships.  </w:t>
            </w:r>
          </w:p>
          <w:p w14:paraId="2438972E" w14:textId="77777777" w:rsidR="00790301" w:rsidRPr="009B6C26" w:rsidRDefault="00790301" w:rsidP="00790301">
            <w:pPr>
              <w:pStyle w:val="ListParagraph"/>
              <w:shd w:val="clear" w:color="auto" w:fill="FFFFFF"/>
              <w:ind w:firstLine="0"/>
              <w:textAlignment w:val="baseline"/>
              <w:rPr>
                <w:rFonts w:cs="Arial"/>
                <w:color w:val="auto"/>
                <w:sz w:val="22"/>
              </w:rPr>
            </w:pPr>
          </w:p>
          <w:p w14:paraId="2A0C785C" w14:textId="565F1BCB"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bdr w:val="none" w:sz="0" w:space="0" w:color="auto" w:frame="1"/>
              </w:rPr>
              <w:t xml:space="preserve">Historically, children who are FSM with high prior attainment (HPA) in KS1 make less progress than their peers with high prior attainment (HPA+FSM). </w:t>
            </w:r>
            <w:r w:rsidRPr="00560E66">
              <w:rPr>
                <w:rFonts w:cs="Arial"/>
                <w:color w:val="auto"/>
                <w:sz w:val="22"/>
              </w:rPr>
              <w:t xml:space="preserve">The proportion of FSM pupils in school has significantly increased because many of our families sit in the </w:t>
            </w:r>
            <w:proofErr w:type="gramStart"/>
            <w:r w:rsidRPr="00560E66">
              <w:rPr>
                <w:rFonts w:cs="Arial"/>
                <w:color w:val="auto"/>
                <w:sz w:val="22"/>
              </w:rPr>
              <w:t>lo</w:t>
            </w:r>
            <w:r>
              <w:rPr>
                <w:rFonts w:cs="Arial"/>
                <w:color w:val="auto"/>
                <w:sz w:val="22"/>
              </w:rPr>
              <w:t xml:space="preserve">w </w:t>
            </w:r>
            <w:r w:rsidRPr="00560E66">
              <w:rPr>
                <w:rFonts w:cs="Arial"/>
                <w:color w:val="auto"/>
                <w:sz w:val="22"/>
              </w:rPr>
              <w:t>income</w:t>
            </w:r>
            <w:proofErr w:type="gramEnd"/>
            <w:r w:rsidRPr="00560E66">
              <w:rPr>
                <w:rFonts w:cs="Arial"/>
                <w:color w:val="auto"/>
                <w:sz w:val="22"/>
              </w:rPr>
              <w:t xml:space="preserve"> bracket and, with national lockdown, furloughing of workers and redundancies, many parents have worked either reduced hours, or lost jobs. </w:t>
            </w:r>
          </w:p>
          <w:p w14:paraId="3B722130"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b/>
                <w:color w:val="auto"/>
                <w:sz w:val="22"/>
              </w:rPr>
            </w:pPr>
            <w:r w:rsidRPr="00560E66">
              <w:rPr>
                <w:rFonts w:cs="Arial"/>
                <w:b/>
                <w:color w:val="auto"/>
                <w:sz w:val="22"/>
              </w:rPr>
              <w:t>We also know that current research (Education Policy Institute 2020) says that the gaps between disadvantaged and non-disadvantaged pupils is 4.6 months at the end of the EYFS and this widens to 9.3 months by the end of KS2 and doubles at the end of secondary school.</w:t>
            </w:r>
          </w:p>
          <w:p w14:paraId="246FF805"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Numbers of FSM children have risen since the start of the pandemic to 161 families claiming. We also know of several families who refuse to claim. This is an increase of at least 20 families since last year.</w:t>
            </w:r>
          </w:p>
          <w:p w14:paraId="768A9987"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Mobility in the school is high. Many Eastern European families have moved back to their home countries as a result of Brexit and the pandemic. Some in social housing or temporary housing have been moved to other accommodation further away. We have also seen several families move away from LLBD to the Essex coast, Yorkshire and other areas of the countryside. </w:t>
            </w:r>
          </w:p>
          <w:p w14:paraId="3E30B559"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Despite this our school numbers are still climbing as a result of the very good reputation of the school, strong links with the community and positive outcomes through multi-agency work. The school is now running at 846 pupils, from 742 in 2014. We still have 56 vacancies across the school – the biggest being 7 in year 2, 15 in year 5 and 12 in year 4. We have had some teacher maternity and staff absence in year 4 and 5 over the last year or so, which may have impacted on numbers. </w:t>
            </w:r>
          </w:p>
          <w:p w14:paraId="6DA9E0FC"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13x FT nursery places take up 26PT places, so a net loss of 13 pupils – which is counted above, although we do get funding for these FT pupils. </w:t>
            </w:r>
          </w:p>
          <w:p w14:paraId="29291298"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The move to the additional 26 place nursery (2022), will meet the local demand for FT nursery places and release the PT places in our current nursery setting. </w:t>
            </w:r>
          </w:p>
          <w:p w14:paraId="27BB0C30" w14:textId="77777777" w:rsidR="00790301" w:rsidRPr="00560E66"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Our EHC numbers are currently low with 7 EHC pupils but this is not a true reflection of the SEND profile in the school. We have had an influx of 26 pupils since June 2021, almost all through general admissions and in the infants. We are in the process of completing 16x EHCs to </w:t>
            </w:r>
            <w:r w:rsidRPr="00560E66">
              <w:rPr>
                <w:rFonts w:cs="Arial"/>
                <w:color w:val="auto"/>
                <w:sz w:val="22"/>
              </w:rPr>
              <w:lastRenderedPageBreak/>
              <w:t>access funding so that we can better support these pupils. We currently have 29 high needs, ASD SEND pupils. We are fighting for funding from Havering LA to get this funding.</w:t>
            </w:r>
          </w:p>
          <w:p w14:paraId="4DCF6567" w14:textId="77777777" w:rsidR="00790301" w:rsidRPr="00560E66" w:rsidRDefault="00790301" w:rsidP="00790301">
            <w:pPr>
              <w:pStyle w:val="ListParagraph"/>
              <w:numPr>
                <w:ilvl w:val="0"/>
                <w:numId w:val="0"/>
              </w:numPr>
              <w:shd w:val="clear" w:color="auto" w:fill="FFFFFF"/>
              <w:ind w:left="720"/>
              <w:textAlignment w:val="baseline"/>
              <w:rPr>
                <w:rFonts w:cs="Arial"/>
                <w:color w:val="auto"/>
                <w:sz w:val="22"/>
              </w:rPr>
            </w:pPr>
          </w:p>
          <w:p w14:paraId="287203B3" w14:textId="19BA0C1F" w:rsid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560E66">
              <w:rPr>
                <w:rFonts w:cs="Arial"/>
                <w:color w:val="auto"/>
                <w:sz w:val="22"/>
              </w:rPr>
              <w:t xml:space="preserve">As a result of the COVID19 pandemic, we have seen large gaps in learning for all groups of pupils throughout the school, and we are working towards the following strategies: </w:t>
            </w:r>
          </w:p>
          <w:p w14:paraId="116FBEC8" w14:textId="77777777" w:rsidR="00790301" w:rsidRPr="00790301" w:rsidRDefault="00790301" w:rsidP="00790301">
            <w:pPr>
              <w:pStyle w:val="ListParagraph"/>
              <w:numPr>
                <w:ilvl w:val="0"/>
                <w:numId w:val="0"/>
              </w:numPr>
              <w:ind w:left="720"/>
              <w:rPr>
                <w:rFonts w:cs="Arial"/>
                <w:color w:val="auto"/>
                <w:sz w:val="22"/>
              </w:rPr>
            </w:pPr>
          </w:p>
          <w:p w14:paraId="04FAE2EC"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Our nursery pupils rising into reception will make up approximately 60% of the cohort (78 places) - since we always take in the remaining reception pupils from other settings. We are not overly concerned about this year group as they have plenty of time to catch up and we know that we have a consistent trend of accelerating progress across the EYFS from being well below on entry to leaving reception at or above age-related expectations. Outstanding practice, the maths mastery programme, NELI (Nuffield Early Literacy Intervention) and targeted curriculum support will facilitate this.</w:t>
            </w:r>
          </w:p>
          <w:p w14:paraId="27E02871" w14:textId="77777777" w:rsidR="00790301" w:rsidRPr="00560E66" w:rsidRDefault="00790301" w:rsidP="00790301">
            <w:pPr>
              <w:pStyle w:val="ListParagraph"/>
              <w:numPr>
                <w:ilvl w:val="0"/>
                <w:numId w:val="0"/>
              </w:numPr>
              <w:shd w:val="clear" w:color="auto" w:fill="FFFFFF"/>
              <w:ind w:left="720"/>
              <w:textAlignment w:val="baseline"/>
              <w:rPr>
                <w:rFonts w:cs="Arial"/>
                <w:b/>
                <w:color w:val="auto"/>
                <w:sz w:val="22"/>
                <w:highlight w:val="yellow"/>
              </w:rPr>
            </w:pPr>
          </w:p>
          <w:p w14:paraId="5D7C2D13"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 xml:space="preserve">We know that our rising reception pupils (going into year 1) are likely to be very affected, since they would not have had the strong base in phonics skills that they would normally have had due to missing such a large part of their reception year. Worryingly, these pupils will not have had the opportunity to meet the requirements of the Early Learning Goals which provide the foundation for future learning to be built upon. We also expect this year group to be most difficult to settle since research indicates that strong work and attendance habits are formed before the age of 5yo. </w:t>
            </w:r>
          </w:p>
          <w:p w14:paraId="7FDA0A50" w14:textId="77777777" w:rsidR="00790301" w:rsidRPr="00560E66" w:rsidRDefault="00790301" w:rsidP="00790301">
            <w:pPr>
              <w:pStyle w:val="ListParagraph"/>
              <w:numPr>
                <w:ilvl w:val="0"/>
                <w:numId w:val="0"/>
              </w:numPr>
              <w:shd w:val="clear" w:color="auto" w:fill="FFFFFF"/>
              <w:ind w:left="720"/>
              <w:textAlignment w:val="baseline"/>
              <w:rPr>
                <w:rFonts w:cs="Arial"/>
                <w:color w:val="auto"/>
                <w:sz w:val="22"/>
                <w:highlight w:val="yellow"/>
              </w:rPr>
            </w:pPr>
          </w:p>
          <w:p w14:paraId="6ACAAC26"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We have planned to stagger the start of the school year by delaying the start of the rising nursery pupils going into reception by a week. We plan to place the reception staff in the year 1 classrooms, with the year 1 teachers and support staff. The twinned outside areas will be resourced using some of the reception equipment and we will use this week as an opportunity to train up the year 1 staff to plan, do and review using the Development Matters document with reception staff on hand to support. The use of reception staff will also provide a smooth transition for anxious parents and pupils who should feel more confident about returning to school and settle into routines more quickly. We plan to continue to use the EYFS approach ‘play based learning’ until the children are ready for a more formal approach. This will be led by the children’s response.</w:t>
            </w:r>
          </w:p>
          <w:p w14:paraId="7C3B2F34" w14:textId="77777777" w:rsidR="00790301" w:rsidRPr="00560E66" w:rsidRDefault="00790301" w:rsidP="00790301">
            <w:pPr>
              <w:shd w:val="clear" w:color="auto" w:fill="FFFFFF"/>
              <w:textAlignment w:val="baseline"/>
              <w:rPr>
                <w:rFonts w:cs="Arial"/>
                <w:color w:val="auto"/>
                <w:sz w:val="22"/>
              </w:rPr>
            </w:pPr>
          </w:p>
          <w:p w14:paraId="058ED268" w14:textId="77777777" w:rsidR="00790301" w:rsidRPr="00790301" w:rsidRDefault="00790301" w:rsidP="00790301">
            <w:pPr>
              <w:pStyle w:val="ListParagraph"/>
              <w:numPr>
                <w:ilvl w:val="0"/>
                <w:numId w:val="21"/>
              </w:numPr>
              <w:textAlignment w:val="baseline"/>
              <w:rPr>
                <w:rFonts w:cs="Arial"/>
                <w:color w:val="auto"/>
                <w:sz w:val="22"/>
              </w:rPr>
            </w:pPr>
            <w:r w:rsidRPr="00790301">
              <w:rPr>
                <w:rFonts w:cs="Arial"/>
                <w:color w:val="auto"/>
                <w:sz w:val="22"/>
              </w:rPr>
              <w:t xml:space="preserve">In addition to daily phonics in the classroom, our own consistently successful, early phonics intervention will be used following baseline assessment (using phonics screening materials) to identify need. Additional catch-up work for vulnerable pupils will run through the autumn term via using RGPS expert staff in small groups and 1:1s with TA support. This is </w:t>
            </w:r>
            <w:r w:rsidRPr="00790301">
              <w:rPr>
                <w:rFonts w:cs="Arial"/>
                <w:b/>
                <w:color w:val="auto"/>
                <w:sz w:val="22"/>
              </w:rPr>
              <w:t>not</w:t>
            </w:r>
            <w:r w:rsidRPr="00790301">
              <w:rPr>
                <w:rFonts w:cs="Arial"/>
                <w:color w:val="auto"/>
                <w:sz w:val="22"/>
              </w:rPr>
              <w:t xml:space="preserve"> funded via the Government’s Catch Up funding. Pupils still working on the ELGs (7 pupils) will continue being assessed on this and be given a blended learning approach of EYFS play-based learning and the National Curriculum for Year 1. </w:t>
            </w:r>
          </w:p>
          <w:p w14:paraId="532AA4A4" w14:textId="77777777" w:rsidR="00790301" w:rsidRPr="00560E66" w:rsidRDefault="00790301" w:rsidP="00790301">
            <w:pPr>
              <w:pStyle w:val="ListParagraph"/>
              <w:numPr>
                <w:ilvl w:val="0"/>
                <w:numId w:val="0"/>
              </w:numPr>
              <w:shd w:val="clear" w:color="auto" w:fill="FFFFFF"/>
              <w:ind w:left="720"/>
              <w:textAlignment w:val="baseline"/>
              <w:rPr>
                <w:rFonts w:cs="Arial"/>
                <w:color w:val="auto"/>
                <w:sz w:val="22"/>
                <w:highlight w:val="yellow"/>
              </w:rPr>
            </w:pPr>
          </w:p>
          <w:p w14:paraId="25FAFEA6"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 xml:space="preserve">Year 1 rising into year 2, will have missed intense work on English – including a heavy emphasis on sentence composition, basic grammar, punctuation and most importantly a continued grounding in phonics, blending and the spelling of more complex words. The pupils in this year group missed their phonics screening check last academic year and will now be taking this in December. Basic number will also be an issue for this year group, although we expect this to be picked up through good quality first maths teaching over time. Phonics and reading will need to be recovered very quickly and this will need to be an urgent focus as this will impact on all other areas of learning. In addition to daily phonics in the classroom, our own consistently successful, early phonics intervention will be used following baseline assessment (using phonics screening materials) to identify need. Additional catch-up work for vulnerable pupils will run through the autumn term via online tutoring, using RGPS expert staff in small groups and 1:1s with TA support. Catch Up funding will be used to support reading, following the DfE best practice research on group size etc </w:t>
            </w:r>
            <w:proofErr w:type="spellStart"/>
            <w:r w:rsidRPr="00790301">
              <w:rPr>
                <w:rFonts w:cs="Arial"/>
                <w:color w:val="auto"/>
                <w:sz w:val="22"/>
              </w:rPr>
              <w:t>etc</w:t>
            </w:r>
            <w:proofErr w:type="spellEnd"/>
            <w:r w:rsidRPr="00790301">
              <w:rPr>
                <w:rFonts w:cs="Arial"/>
                <w:color w:val="auto"/>
                <w:sz w:val="22"/>
              </w:rPr>
              <w:t>.</w:t>
            </w:r>
          </w:p>
          <w:p w14:paraId="1B074B7A" w14:textId="77777777" w:rsidR="00790301" w:rsidRDefault="00790301" w:rsidP="00790301">
            <w:pPr>
              <w:pStyle w:val="ListParagraph"/>
              <w:numPr>
                <w:ilvl w:val="0"/>
                <w:numId w:val="0"/>
              </w:numPr>
              <w:shd w:val="clear" w:color="auto" w:fill="FFFFFF"/>
              <w:ind w:left="720"/>
              <w:textAlignment w:val="baseline"/>
              <w:rPr>
                <w:rFonts w:cs="Arial"/>
                <w:color w:val="auto"/>
                <w:sz w:val="22"/>
              </w:rPr>
            </w:pPr>
          </w:p>
          <w:p w14:paraId="2907DC54" w14:textId="1C7A4DCC" w:rsidR="00790301" w:rsidRPr="00790301" w:rsidRDefault="00790301" w:rsidP="00790301">
            <w:pPr>
              <w:pStyle w:val="ListParagraph"/>
              <w:numPr>
                <w:ilvl w:val="0"/>
                <w:numId w:val="21"/>
              </w:numPr>
              <w:shd w:val="clear" w:color="auto" w:fill="FFFFFF"/>
              <w:textAlignment w:val="baseline"/>
              <w:rPr>
                <w:rFonts w:cs="Arial"/>
                <w:color w:val="auto"/>
                <w:sz w:val="22"/>
              </w:rPr>
            </w:pPr>
            <w:r w:rsidRPr="00790301">
              <w:rPr>
                <w:rFonts w:cs="Arial"/>
                <w:color w:val="auto"/>
                <w:sz w:val="22"/>
              </w:rPr>
              <w:t xml:space="preserve">Additional gaps in writing and number will need to be closed through quality first teaching, however in our experience we have found that pushing the children too quickly, without a solid foundation, leads to fundamental errors and cognitive overload. With this in mind, the only way that we could recover standards at the end of the KS1 would be accelerating children in this way. Although we would potentially attain good outcomes, ultimately learning would not be strong enough to build future learning on top of (think Jenga). Rather than accelerate the children too quickly, we have made a conscious decision to close gaps and therefore recover learning trajectories, over time to avoid dysfluency [see inset training on ‘DfE’s vision for the curriculum NUTSHELL’]. Although we will still push for more managed acceleration by setting a progress measure of 4 RGPS points rather than the 3 we would normally recognise as good progress in a year. </w:t>
            </w:r>
          </w:p>
          <w:p w14:paraId="2D9C5AEF" w14:textId="795712D4" w:rsidR="00790301" w:rsidRPr="00560E66" w:rsidRDefault="00790301" w:rsidP="00790301">
            <w:pPr>
              <w:pStyle w:val="ListParagraph"/>
              <w:numPr>
                <w:ilvl w:val="0"/>
                <w:numId w:val="0"/>
              </w:numPr>
              <w:shd w:val="clear" w:color="auto" w:fill="FFFFFF"/>
              <w:ind w:left="720"/>
              <w:textAlignment w:val="baseline"/>
              <w:rPr>
                <w:rFonts w:cs="Arial"/>
                <w:color w:val="auto"/>
                <w:sz w:val="22"/>
                <w:highlight w:val="yellow"/>
              </w:rPr>
            </w:pPr>
          </w:p>
          <w:p w14:paraId="62594330"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 xml:space="preserve">In year 2 rising into year 3 and year 3 rising into year 4, we have 7 children that would have normally been picked up in the spring and summer terms for phonics retakes. </w:t>
            </w:r>
          </w:p>
          <w:p w14:paraId="06B92D87" w14:textId="77777777" w:rsidR="00790301" w:rsidRPr="00560E66" w:rsidRDefault="00790301" w:rsidP="00790301">
            <w:pPr>
              <w:pStyle w:val="ListParagraph"/>
              <w:numPr>
                <w:ilvl w:val="0"/>
                <w:numId w:val="0"/>
              </w:numPr>
              <w:shd w:val="clear" w:color="auto" w:fill="FFFFFF"/>
              <w:suppressAutoHyphens w:val="0"/>
              <w:autoSpaceDN/>
              <w:spacing w:after="0" w:line="240" w:lineRule="auto"/>
              <w:ind w:left="720"/>
              <w:textAlignment w:val="baseline"/>
              <w:rPr>
                <w:rFonts w:cs="Arial"/>
                <w:color w:val="auto"/>
                <w:sz w:val="22"/>
              </w:rPr>
            </w:pPr>
            <w:r w:rsidRPr="00560E66">
              <w:rPr>
                <w:rFonts w:cs="Arial"/>
                <w:color w:val="auto"/>
                <w:sz w:val="22"/>
              </w:rPr>
              <w:t xml:space="preserve">Across these </w:t>
            </w:r>
            <w:proofErr w:type="gramStart"/>
            <w:r w:rsidRPr="00560E66">
              <w:rPr>
                <w:rFonts w:cs="Arial"/>
                <w:color w:val="auto"/>
                <w:sz w:val="22"/>
              </w:rPr>
              <w:t>two year</w:t>
            </w:r>
            <w:proofErr w:type="gramEnd"/>
            <w:r w:rsidRPr="00560E66">
              <w:rPr>
                <w:rFonts w:cs="Arial"/>
                <w:color w:val="auto"/>
                <w:sz w:val="22"/>
              </w:rPr>
              <w:t xml:space="preserve"> groups (and actually across the school as a whole) we have attempted to redeploy staff for September to ensure that there were teachers and teaching assistants with up to date, phonics knowledge and experience in every year group. Combined with this, phonics training for staff was delivered in September to ensure that staff were able to recognise key phonics issues, the phonics stages and how to correct issues with misspellings through support for spelling strategies. This work is not complete as we have had to draw on existing support staff to support the high needs pupils meaning that our strongest phonics practitioners have had less impact than we originally planned. Additional bespoke training is being provided to support year 3 teachers that require it. </w:t>
            </w:r>
          </w:p>
          <w:p w14:paraId="091455FC" w14:textId="77777777" w:rsidR="00790301" w:rsidRPr="00560E66" w:rsidRDefault="00790301" w:rsidP="00790301">
            <w:pPr>
              <w:pStyle w:val="ListParagraph"/>
              <w:numPr>
                <w:ilvl w:val="0"/>
                <w:numId w:val="0"/>
              </w:numPr>
              <w:ind w:left="720"/>
              <w:rPr>
                <w:rFonts w:cs="Arial"/>
                <w:color w:val="auto"/>
                <w:sz w:val="22"/>
              </w:rPr>
            </w:pPr>
          </w:p>
          <w:p w14:paraId="6C335207"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 xml:space="preserve">Reading intervention through the Catch-Up programme is being explored with NTP practitioners for year 3 to increase provision, and is in place for our weakest readers in year 4. </w:t>
            </w:r>
          </w:p>
          <w:p w14:paraId="07DEBA34" w14:textId="77777777" w:rsidR="00790301" w:rsidRPr="00560E66" w:rsidRDefault="00790301" w:rsidP="00790301">
            <w:pPr>
              <w:pStyle w:val="ListParagraph"/>
              <w:numPr>
                <w:ilvl w:val="0"/>
                <w:numId w:val="0"/>
              </w:numPr>
              <w:ind w:left="720"/>
              <w:rPr>
                <w:rFonts w:cs="Arial"/>
                <w:color w:val="auto"/>
                <w:sz w:val="22"/>
              </w:rPr>
            </w:pPr>
          </w:p>
          <w:p w14:paraId="069A007C" w14:textId="77777777" w:rsidR="00790301" w:rsidRPr="00790301" w:rsidRDefault="00790301" w:rsidP="00790301">
            <w:pPr>
              <w:pStyle w:val="ListParagraph"/>
              <w:numPr>
                <w:ilvl w:val="0"/>
                <w:numId w:val="21"/>
              </w:numPr>
              <w:shd w:val="clear" w:color="auto" w:fill="FFFFFF"/>
              <w:suppressAutoHyphens w:val="0"/>
              <w:autoSpaceDN/>
              <w:spacing w:after="0" w:line="240" w:lineRule="auto"/>
              <w:textAlignment w:val="baseline"/>
              <w:rPr>
                <w:rFonts w:cs="Arial"/>
                <w:color w:val="auto"/>
                <w:sz w:val="22"/>
              </w:rPr>
            </w:pPr>
            <w:r w:rsidRPr="00790301">
              <w:rPr>
                <w:rFonts w:cs="Arial"/>
                <w:color w:val="auto"/>
                <w:sz w:val="22"/>
              </w:rPr>
              <w:t xml:space="preserve">Year 4 rising to year 5 and year 5 rising to year 6 are expected to have similar gaps as those described in other year groups but because of the time left to get these children secondary ready, these </w:t>
            </w:r>
            <w:proofErr w:type="gramStart"/>
            <w:r w:rsidRPr="00790301">
              <w:rPr>
                <w:rFonts w:cs="Arial"/>
                <w:color w:val="auto"/>
                <w:sz w:val="22"/>
              </w:rPr>
              <w:t>2 year</w:t>
            </w:r>
            <w:proofErr w:type="gramEnd"/>
            <w:r w:rsidRPr="00790301">
              <w:rPr>
                <w:rFonts w:cs="Arial"/>
                <w:color w:val="auto"/>
                <w:sz w:val="22"/>
              </w:rPr>
              <w:t xml:space="preserve"> groups are a key priority. We expect that throughout the school there will be gaps in learning with number and number fluency, reading fluency problems, handwriting and spelling gaps, potential behavioural problems and increased MHWB needs with pupils and parents – particularly with some of our most vulnerable pupils. </w:t>
            </w:r>
          </w:p>
          <w:p w14:paraId="5D11533C" w14:textId="77777777" w:rsidR="00790301" w:rsidRPr="00560E66" w:rsidRDefault="00790301" w:rsidP="00790301">
            <w:pPr>
              <w:pStyle w:val="ListParagraph"/>
              <w:numPr>
                <w:ilvl w:val="0"/>
                <w:numId w:val="0"/>
              </w:numPr>
              <w:ind w:left="720"/>
              <w:rPr>
                <w:rFonts w:cs="Arial"/>
                <w:b/>
                <w:color w:val="auto"/>
                <w:sz w:val="22"/>
              </w:rPr>
            </w:pPr>
          </w:p>
          <w:p w14:paraId="7CB31BDB" w14:textId="77777777" w:rsidR="00790301" w:rsidRPr="00790301" w:rsidRDefault="00790301" w:rsidP="00790301">
            <w:pPr>
              <w:pStyle w:val="ListParagraph"/>
              <w:numPr>
                <w:ilvl w:val="0"/>
                <w:numId w:val="21"/>
              </w:numPr>
              <w:shd w:val="clear" w:color="auto" w:fill="FFFFFF"/>
              <w:textAlignment w:val="baseline"/>
              <w:rPr>
                <w:rFonts w:cs="Arial"/>
                <w:color w:val="auto"/>
                <w:sz w:val="22"/>
              </w:rPr>
            </w:pPr>
            <w:r w:rsidRPr="00790301">
              <w:rPr>
                <w:rFonts w:cs="Arial"/>
                <w:color w:val="auto"/>
                <w:sz w:val="22"/>
              </w:rPr>
              <w:t>To address the above issues, we have deployed 2 very experienced staff to remotely tutor pupils for 2 sessions per week in year 5 and in year 6. This work is a blend of English and mathematics and is designed around the year group planning, so that the children are not missing the work the rest of the class are doing but there is an additional focus around the individual child’s needs. During the lessons, the teacher has greater opportunity to unpick misconceptions and reinforce learning where needed and after the lesson, there is feedback to the class teacher. Online tutoring to support our disadvantaged readers, is carried out by experienced RGPS staff (Catch Up).</w:t>
            </w:r>
          </w:p>
          <w:p w14:paraId="0E3F2337" w14:textId="77777777" w:rsidR="00790301" w:rsidRPr="00560E66" w:rsidRDefault="00790301" w:rsidP="00790301">
            <w:pPr>
              <w:pStyle w:val="ListParagraph"/>
              <w:numPr>
                <w:ilvl w:val="0"/>
                <w:numId w:val="0"/>
              </w:numPr>
              <w:shd w:val="clear" w:color="auto" w:fill="FFFFFF"/>
              <w:ind w:left="720"/>
              <w:textAlignment w:val="baseline"/>
              <w:rPr>
                <w:rFonts w:cs="Arial"/>
                <w:color w:val="auto"/>
                <w:sz w:val="22"/>
              </w:rPr>
            </w:pPr>
            <w:r w:rsidRPr="00560E66">
              <w:rPr>
                <w:rFonts w:cs="Arial"/>
                <w:color w:val="auto"/>
                <w:sz w:val="22"/>
              </w:rPr>
              <w:t xml:space="preserve">After Christmas, additional support is provided for 2 afternoons per week from x2 expert teachers – one focusing on year 6 and the other year 5. This will release class teachers for catch up work and forensic support across the basic skills (school funded). </w:t>
            </w:r>
          </w:p>
          <w:tbl>
            <w:tblPr>
              <w:tblStyle w:val="TableGrid"/>
              <w:tblpPr w:leftFromText="180" w:rightFromText="180" w:horzAnchor="page" w:tblpX="1051" w:tblpY="-525"/>
              <w:tblW w:w="10207" w:type="dxa"/>
              <w:tblLook w:val="04A0" w:firstRow="1" w:lastRow="0" w:firstColumn="1" w:lastColumn="0" w:noHBand="0" w:noVBand="1"/>
            </w:tblPr>
            <w:tblGrid>
              <w:gridCol w:w="1442"/>
              <w:gridCol w:w="1436"/>
              <w:gridCol w:w="703"/>
              <w:gridCol w:w="1104"/>
              <w:gridCol w:w="1104"/>
              <w:gridCol w:w="1104"/>
              <w:gridCol w:w="1104"/>
              <w:gridCol w:w="1104"/>
              <w:gridCol w:w="1106"/>
            </w:tblGrid>
            <w:tr w:rsidR="00790301" w:rsidRPr="00560E66" w14:paraId="27D31CA1" w14:textId="77777777" w:rsidTr="00790301">
              <w:trPr>
                <w:trHeight w:val="266"/>
              </w:trPr>
              <w:tc>
                <w:tcPr>
                  <w:tcW w:w="10207" w:type="dxa"/>
                  <w:gridSpan w:val="9"/>
                </w:tcPr>
                <w:p w14:paraId="1B410114" w14:textId="776C3C54" w:rsidR="00790301" w:rsidRPr="00560E66" w:rsidRDefault="003443DE" w:rsidP="00790301">
                  <w:pPr>
                    <w:jc w:val="center"/>
                    <w:rPr>
                      <w:color w:val="auto"/>
                    </w:rPr>
                  </w:pPr>
                  <w:r>
                    <w:rPr>
                      <w:color w:val="auto"/>
                    </w:rPr>
                    <w:lastRenderedPageBreak/>
                    <w:t>Attainment Trends for Rush Green Primary (national figures are in red. Note there were no national figures in 2019 and 2020)</w:t>
                  </w:r>
                </w:p>
              </w:tc>
            </w:tr>
            <w:tr w:rsidR="00790301" w:rsidRPr="00560E66" w14:paraId="68886024" w14:textId="77777777" w:rsidTr="00790301">
              <w:trPr>
                <w:trHeight w:val="252"/>
              </w:trPr>
              <w:tc>
                <w:tcPr>
                  <w:tcW w:w="3473" w:type="dxa"/>
                  <w:gridSpan w:val="3"/>
                </w:tcPr>
                <w:p w14:paraId="68FE2773" w14:textId="77777777" w:rsidR="00790301" w:rsidRPr="00560E66" w:rsidRDefault="00790301" w:rsidP="00790301">
                  <w:pPr>
                    <w:rPr>
                      <w:color w:val="auto"/>
                    </w:rPr>
                  </w:pPr>
                  <w:r>
                    <w:rPr>
                      <w:color w:val="auto"/>
                    </w:rPr>
                    <w:t>END OF KEY STAGE ATTAINMENT</w:t>
                  </w:r>
                </w:p>
              </w:tc>
              <w:tc>
                <w:tcPr>
                  <w:tcW w:w="1122" w:type="dxa"/>
                </w:tcPr>
                <w:p w14:paraId="793C543F" w14:textId="77777777" w:rsidR="00790301" w:rsidRPr="00560E66" w:rsidRDefault="00790301" w:rsidP="00790301">
                  <w:pPr>
                    <w:jc w:val="center"/>
                    <w:rPr>
                      <w:color w:val="auto"/>
                    </w:rPr>
                  </w:pPr>
                  <w:r w:rsidRPr="00560E66">
                    <w:rPr>
                      <w:color w:val="auto"/>
                    </w:rPr>
                    <w:t>2015-2016</w:t>
                  </w:r>
                </w:p>
              </w:tc>
              <w:tc>
                <w:tcPr>
                  <w:tcW w:w="1122" w:type="dxa"/>
                </w:tcPr>
                <w:p w14:paraId="1A78DD31" w14:textId="77777777" w:rsidR="00790301" w:rsidRPr="00560E66" w:rsidRDefault="00790301" w:rsidP="00790301">
                  <w:pPr>
                    <w:jc w:val="center"/>
                    <w:rPr>
                      <w:color w:val="auto"/>
                    </w:rPr>
                  </w:pPr>
                  <w:r w:rsidRPr="00560E66">
                    <w:rPr>
                      <w:color w:val="auto"/>
                    </w:rPr>
                    <w:t>2016-2017</w:t>
                  </w:r>
                </w:p>
              </w:tc>
              <w:tc>
                <w:tcPr>
                  <w:tcW w:w="1122" w:type="dxa"/>
                </w:tcPr>
                <w:p w14:paraId="29CA4E49" w14:textId="77777777" w:rsidR="00790301" w:rsidRPr="00560E66" w:rsidRDefault="00790301" w:rsidP="00790301">
                  <w:pPr>
                    <w:jc w:val="center"/>
                    <w:rPr>
                      <w:color w:val="auto"/>
                    </w:rPr>
                  </w:pPr>
                  <w:r w:rsidRPr="00560E66">
                    <w:rPr>
                      <w:color w:val="auto"/>
                    </w:rPr>
                    <w:t>2017-2018</w:t>
                  </w:r>
                </w:p>
              </w:tc>
              <w:tc>
                <w:tcPr>
                  <w:tcW w:w="1122" w:type="dxa"/>
                </w:tcPr>
                <w:p w14:paraId="512A03CF" w14:textId="77777777" w:rsidR="00790301" w:rsidRPr="00560E66" w:rsidRDefault="00790301" w:rsidP="00790301">
                  <w:pPr>
                    <w:jc w:val="center"/>
                    <w:rPr>
                      <w:color w:val="auto"/>
                    </w:rPr>
                  </w:pPr>
                  <w:r w:rsidRPr="00560E66">
                    <w:rPr>
                      <w:color w:val="auto"/>
                    </w:rPr>
                    <w:t>2018-2019</w:t>
                  </w:r>
                </w:p>
              </w:tc>
              <w:tc>
                <w:tcPr>
                  <w:tcW w:w="1122" w:type="dxa"/>
                </w:tcPr>
                <w:p w14:paraId="53E10C5E" w14:textId="77777777" w:rsidR="00790301" w:rsidRPr="00560E66" w:rsidRDefault="00790301" w:rsidP="00790301">
                  <w:pPr>
                    <w:jc w:val="center"/>
                    <w:rPr>
                      <w:color w:val="auto"/>
                    </w:rPr>
                  </w:pPr>
                  <w:r w:rsidRPr="00560E66">
                    <w:rPr>
                      <w:color w:val="auto"/>
                    </w:rPr>
                    <w:t>2019-2020</w:t>
                  </w:r>
                </w:p>
              </w:tc>
              <w:tc>
                <w:tcPr>
                  <w:tcW w:w="1122" w:type="dxa"/>
                </w:tcPr>
                <w:p w14:paraId="7BA448C3" w14:textId="77777777" w:rsidR="00790301" w:rsidRPr="00560E66" w:rsidRDefault="00790301" w:rsidP="00790301">
                  <w:pPr>
                    <w:jc w:val="center"/>
                    <w:rPr>
                      <w:color w:val="auto"/>
                    </w:rPr>
                  </w:pPr>
                  <w:r w:rsidRPr="00560E66">
                    <w:rPr>
                      <w:color w:val="auto"/>
                    </w:rPr>
                    <w:t>2020-2021</w:t>
                  </w:r>
                </w:p>
              </w:tc>
            </w:tr>
            <w:tr w:rsidR="00790301" w:rsidRPr="00560E66" w14:paraId="79AC29D2" w14:textId="77777777" w:rsidTr="00790301">
              <w:trPr>
                <w:cantSplit/>
                <w:trHeight w:val="274"/>
              </w:trPr>
              <w:tc>
                <w:tcPr>
                  <w:tcW w:w="1479" w:type="dxa"/>
                  <w:vMerge w:val="restart"/>
                  <w:vAlign w:val="center"/>
                </w:tcPr>
                <w:p w14:paraId="52DD364B" w14:textId="77777777" w:rsidR="00790301" w:rsidRPr="00560E66" w:rsidRDefault="00790301" w:rsidP="00790301">
                  <w:pPr>
                    <w:jc w:val="center"/>
                    <w:rPr>
                      <w:color w:val="auto"/>
                    </w:rPr>
                  </w:pPr>
                  <w:r w:rsidRPr="00560E66">
                    <w:rPr>
                      <w:color w:val="auto"/>
                    </w:rPr>
                    <w:t>Year 6</w:t>
                  </w:r>
                </w:p>
              </w:tc>
              <w:tc>
                <w:tcPr>
                  <w:tcW w:w="1545" w:type="dxa"/>
                  <w:vMerge w:val="restart"/>
                  <w:vAlign w:val="center"/>
                </w:tcPr>
                <w:p w14:paraId="0B78C6B2" w14:textId="77777777" w:rsidR="00790301" w:rsidRPr="00560E66" w:rsidRDefault="00790301" w:rsidP="00790301">
                  <w:pPr>
                    <w:jc w:val="center"/>
                    <w:rPr>
                      <w:color w:val="auto"/>
                    </w:rPr>
                  </w:pPr>
                  <w:r w:rsidRPr="00560E66">
                    <w:rPr>
                      <w:color w:val="auto"/>
                    </w:rPr>
                    <w:t>Reading</w:t>
                  </w:r>
                </w:p>
              </w:tc>
              <w:tc>
                <w:tcPr>
                  <w:tcW w:w="448" w:type="dxa"/>
                  <w:vMerge w:val="restart"/>
                  <w:textDirection w:val="tbRl"/>
                  <w:vAlign w:val="center"/>
                </w:tcPr>
                <w:p w14:paraId="336B6046" w14:textId="77777777" w:rsidR="00790301" w:rsidRPr="00560E66" w:rsidRDefault="00790301" w:rsidP="00790301">
                  <w:pPr>
                    <w:ind w:left="113" w:right="113"/>
                    <w:jc w:val="center"/>
                    <w:rPr>
                      <w:color w:val="auto"/>
                      <w:sz w:val="16"/>
                    </w:rPr>
                  </w:pPr>
                  <w:r w:rsidRPr="00560E66">
                    <w:rPr>
                      <w:color w:val="auto"/>
                      <w:sz w:val="16"/>
                    </w:rPr>
                    <w:t>Expected Standard</w:t>
                  </w:r>
                </w:p>
              </w:tc>
              <w:tc>
                <w:tcPr>
                  <w:tcW w:w="1122" w:type="dxa"/>
                  <w:vAlign w:val="center"/>
                </w:tcPr>
                <w:p w14:paraId="39592D74" w14:textId="77777777" w:rsidR="00790301" w:rsidRPr="00560E66" w:rsidRDefault="00790301" w:rsidP="00790301">
                  <w:pPr>
                    <w:jc w:val="center"/>
                    <w:rPr>
                      <w:color w:val="auto"/>
                    </w:rPr>
                  </w:pPr>
                  <w:r w:rsidRPr="00560E66">
                    <w:rPr>
                      <w:color w:val="auto"/>
                    </w:rPr>
                    <w:t>87</w:t>
                  </w:r>
                </w:p>
              </w:tc>
              <w:tc>
                <w:tcPr>
                  <w:tcW w:w="1122" w:type="dxa"/>
                  <w:vAlign w:val="center"/>
                </w:tcPr>
                <w:p w14:paraId="2D3194AE" w14:textId="77777777" w:rsidR="00790301" w:rsidRPr="00560E66" w:rsidRDefault="00790301" w:rsidP="00790301">
                  <w:pPr>
                    <w:jc w:val="center"/>
                    <w:rPr>
                      <w:color w:val="auto"/>
                    </w:rPr>
                  </w:pPr>
                  <w:r w:rsidRPr="00560E66">
                    <w:rPr>
                      <w:color w:val="auto"/>
                    </w:rPr>
                    <w:t>75</w:t>
                  </w:r>
                </w:p>
              </w:tc>
              <w:tc>
                <w:tcPr>
                  <w:tcW w:w="1122" w:type="dxa"/>
                  <w:vAlign w:val="center"/>
                </w:tcPr>
                <w:p w14:paraId="6221B35F" w14:textId="77777777" w:rsidR="00790301" w:rsidRPr="00560E66" w:rsidRDefault="00790301" w:rsidP="00790301">
                  <w:pPr>
                    <w:jc w:val="center"/>
                    <w:rPr>
                      <w:color w:val="auto"/>
                    </w:rPr>
                  </w:pPr>
                  <w:r w:rsidRPr="00560E66">
                    <w:rPr>
                      <w:color w:val="auto"/>
                    </w:rPr>
                    <w:t>93</w:t>
                  </w:r>
                </w:p>
              </w:tc>
              <w:tc>
                <w:tcPr>
                  <w:tcW w:w="1122" w:type="dxa"/>
                  <w:vAlign w:val="center"/>
                </w:tcPr>
                <w:p w14:paraId="41EB2D63" w14:textId="77777777" w:rsidR="00790301" w:rsidRPr="00560E66" w:rsidRDefault="00790301" w:rsidP="00790301">
                  <w:pPr>
                    <w:jc w:val="center"/>
                    <w:rPr>
                      <w:color w:val="auto"/>
                    </w:rPr>
                  </w:pPr>
                  <w:r w:rsidRPr="00560E66">
                    <w:rPr>
                      <w:color w:val="auto"/>
                    </w:rPr>
                    <w:t>89</w:t>
                  </w:r>
                </w:p>
              </w:tc>
              <w:tc>
                <w:tcPr>
                  <w:tcW w:w="1122" w:type="dxa"/>
                  <w:vAlign w:val="center"/>
                </w:tcPr>
                <w:p w14:paraId="7638FBB0" w14:textId="77777777" w:rsidR="00790301" w:rsidRPr="00560E66" w:rsidRDefault="00790301" w:rsidP="00790301">
                  <w:pPr>
                    <w:jc w:val="center"/>
                    <w:rPr>
                      <w:color w:val="auto"/>
                    </w:rPr>
                  </w:pPr>
                  <w:r w:rsidRPr="00560E66">
                    <w:rPr>
                      <w:color w:val="auto"/>
                    </w:rPr>
                    <w:t>90</w:t>
                  </w:r>
                </w:p>
              </w:tc>
              <w:tc>
                <w:tcPr>
                  <w:tcW w:w="1122" w:type="dxa"/>
                  <w:vAlign w:val="center"/>
                </w:tcPr>
                <w:p w14:paraId="031C8F25" w14:textId="77777777" w:rsidR="00790301" w:rsidRPr="00560E66" w:rsidRDefault="00790301" w:rsidP="00790301">
                  <w:pPr>
                    <w:jc w:val="center"/>
                    <w:rPr>
                      <w:color w:val="auto"/>
                    </w:rPr>
                  </w:pPr>
                  <w:r w:rsidRPr="00560E66">
                    <w:rPr>
                      <w:color w:val="auto"/>
                    </w:rPr>
                    <w:t>93</w:t>
                  </w:r>
                </w:p>
              </w:tc>
            </w:tr>
            <w:tr w:rsidR="00790301" w:rsidRPr="00560E66" w14:paraId="21951DF6" w14:textId="77777777" w:rsidTr="00790301">
              <w:trPr>
                <w:cantSplit/>
                <w:trHeight w:val="274"/>
              </w:trPr>
              <w:tc>
                <w:tcPr>
                  <w:tcW w:w="1479" w:type="dxa"/>
                  <w:vMerge/>
                  <w:vAlign w:val="center"/>
                </w:tcPr>
                <w:p w14:paraId="5CCD6403" w14:textId="77777777" w:rsidR="00790301" w:rsidRPr="00560E66" w:rsidRDefault="00790301" w:rsidP="00790301">
                  <w:pPr>
                    <w:jc w:val="center"/>
                    <w:rPr>
                      <w:color w:val="auto"/>
                    </w:rPr>
                  </w:pPr>
                </w:p>
              </w:tc>
              <w:tc>
                <w:tcPr>
                  <w:tcW w:w="1545" w:type="dxa"/>
                  <w:vMerge/>
                  <w:vAlign w:val="center"/>
                </w:tcPr>
                <w:p w14:paraId="4E82A845" w14:textId="77777777" w:rsidR="00790301" w:rsidRPr="00560E66" w:rsidRDefault="00790301" w:rsidP="00790301">
                  <w:pPr>
                    <w:jc w:val="center"/>
                    <w:rPr>
                      <w:color w:val="auto"/>
                    </w:rPr>
                  </w:pPr>
                </w:p>
              </w:tc>
              <w:tc>
                <w:tcPr>
                  <w:tcW w:w="448" w:type="dxa"/>
                  <w:vMerge/>
                  <w:textDirection w:val="tbRl"/>
                  <w:vAlign w:val="center"/>
                </w:tcPr>
                <w:p w14:paraId="057E4F76" w14:textId="77777777" w:rsidR="00790301" w:rsidRPr="00560E66" w:rsidRDefault="00790301" w:rsidP="00790301">
                  <w:pPr>
                    <w:ind w:left="113" w:right="113"/>
                    <w:jc w:val="center"/>
                    <w:rPr>
                      <w:color w:val="auto"/>
                      <w:sz w:val="16"/>
                    </w:rPr>
                  </w:pPr>
                </w:p>
              </w:tc>
              <w:tc>
                <w:tcPr>
                  <w:tcW w:w="1122" w:type="dxa"/>
                  <w:vAlign w:val="center"/>
                </w:tcPr>
                <w:p w14:paraId="59BB2706" w14:textId="77777777" w:rsidR="00790301" w:rsidRPr="00560E66" w:rsidRDefault="00790301" w:rsidP="00790301">
                  <w:pPr>
                    <w:jc w:val="center"/>
                    <w:rPr>
                      <w:i/>
                      <w:color w:val="FF0000"/>
                      <w:sz w:val="18"/>
                    </w:rPr>
                  </w:pPr>
                  <w:r w:rsidRPr="00560E66">
                    <w:rPr>
                      <w:i/>
                      <w:color w:val="FF0000"/>
                      <w:sz w:val="18"/>
                    </w:rPr>
                    <w:t>66</w:t>
                  </w:r>
                </w:p>
              </w:tc>
              <w:tc>
                <w:tcPr>
                  <w:tcW w:w="1122" w:type="dxa"/>
                  <w:vAlign w:val="center"/>
                </w:tcPr>
                <w:p w14:paraId="7BD5041E" w14:textId="77777777" w:rsidR="00790301" w:rsidRPr="00560E66" w:rsidRDefault="00790301" w:rsidP="00790301">
                  <w:pPr>
                    <w:jc w:val="center"/>
                    <w:rPr>
                      <w:i/>
                      <w:color w:val="FF0000"/>
                      <w:sz w:val="18"/>
                    </w:rPr>
                  </w:pPr>
                  <w:r w:rsidRPr="00560E66">
                    <w:rPr>
                      <w:i/>
                      <w:color w:val="FF0000"/>
                      <w:sz w:val="18"/>
                    </w:rPr>
                    <w:t>72</w:t>
                  </w:r>
                </w:p>
              </w:tc>
              <w:tc>
                <w:tcPr>
                  <w:tcW w:w="1122" w:type="dxa"/>
                  <w:vAlign w:val="center"/>
                </w:tcPr>
                <w:p w14:paraId="360BE52A" w14:textId="77777777" w:rsidR="00790301" w:rsidRPr="00560E66" w:rsidRDefault="00790301" w:rsidP="00790301">
                  <w:pPr>
                    <w:jc w:val="center"/>
                    <w:rPr>
                      <w:i/>
                      <w:color w:val="FF0000"/>
                      <w:sz w:val="18"/>
                    </w:rPr>
                  </w:pPr>
                  <w:r w:rsidRPr="00560E66">
                    <w:rPr>
                      <w:i/>
                      <w:color w:val="FF0000"/>
                      <w:sz w:val="18"/>
                    </w:rPr>
                    <w:t>75</w:t>
                  </w:r>
                </w:p>
              </w:tc>
              <w:tc>
                <w:tcPr>
                  <w:tcW w:w="1122" w:type="dxa"/>
                  <w:vAlign w:val="center"/>
                </w:tcPr>
                <w:p w14:paraId="01635640" w14:textId="77777777" w:rsidR="00790301" w:rsidRPr="00560E66" w:rsidRDefault="00790301" w:rsidP="00790301">
                  <w:pPr>
                    <w:jc w:val="center"/>
                    <w:rPr>
                      <w:i/>
                      <w:color w:val="FF0000"/>
                      <w:sz w:val="18"/>
                    </w:rPr>
                  </w:pPr>
                  <w:r w:rsidRPr="00560E66">
                    <w:rPr>
                      <w:i/>
                      <w:color w:val="FF0000"/>
                      <w:sz w:val="18"/>
                    </w:rPr>
                    <w:t>73</w:t>
                  </w:r>
                </w:p>
              </w:tc>
              <w:tc>
                <w:tcPr>
                  <w:tcW w:w="1122" w:type="dxa"/>
                  <w:shd w:val="clear" w:color="auto" w:fill="D9D9D9" w:themeFill="background1" w:themeFillShade="D9"/>
                  <w:vAlign w:val="center"/>
                </w:tcPr>
                <w:p w14:paraId="5AF08E7E" w14:textId="77777777" w:rsidR="00790301" w:rsidRPr="00560E66" w:rsidRDefault="00790301" w:rsidP="00790301">
                  <w:pPr>
                    <w:jc w:val="center"/>
                    <w:rPr>
                      <w:i/>
                      <w:color w:val="FF0000"/>
                      <w:sz w:val="18"/>
                    </w:rPr>
                  </w:pPr>
                </w:p>
              </w:tc>
              <w:tc>
                <w:tcPr>
                  <w:tcW w:w="1122" w:type="dxa"/>
                  <w:shd w:val="clear" w:color="auto" w:fill="D9D9D9" w:themeFill="background1" w:themeFillShade="D9"/>
                  <w:vAlign w:val="center"/>
                </w:tcPr>
                <w:p w14:paraId="59976F49" w14:textId="77777777" w:rsidR="00790301" w:rsidRPr="00560E66" w:rsidRDefault="00790301" w:rsidP="00790301">
                  <w:pPr>
                    <w:jc w:val="center"/>
                    <w:rPr>
                      <w:i/>
                      <w:color w:val="auto"/>
                      <w:sz w:val="18"/>
                    </w:rPr>
                  </w:pPr>
                </w:p>
              </w:tc>
            </w:tr>
            <w:tr w:rsidR="00790301" w:rsidRPr="00560E66" w14:paraId="519F78A9" w14:textId="77777777" w:rsidTr="00790301">
              <w:trPr>
                <w:cantSplit/>
                <w:trHeight w:val="274"/>
              </w:trPr>
              <w:tc>
                <w:tcPr>
                  <w:tcW w:w="1479" w:type="dxa"/>
                  <w:vMerge/>
                  <w:vAlign w:val="center"/>
                </w:tcPr>
                <w:p w14:paraId="70AB230E" w14:textId="77777777" w:rsidR="00790301" w:rsidRPr="00560E66" w:rsidRDefault="00790301" w:rsidP="00790301">
                  <w:pPr>
                    <w:jc w:val="center"/>
                    <w:rPr>
                      <w:color w:val="auto"/>
                    </w:rPr>
                  </w:pPr>
                </w:p>
              </w:tc>
              <w:tc>
                <w:tcPr>
                  <w:tcW w:w="1545" w:type="dxa"/>
                  <w:vMerge w:val="restart"/>
                  <w:vAlign w:val="center"/>
                </w:tcPr>
                <w:p w14:paraId="706CD53B" w14:textId="77777777" w:rsidR="00790301" w:rsidRPr="00560E66" w:rsidRDefault="00790301" w:rsidP="00790301">
                  <w:pPr>
                    <w:jc w:val="center"/>
                    <w:rPr>
                      <w:color w:val="auto"/>
                    </w:rPr>
                  </w:pPr>
                  <w:r w:rsidRPr="00560E66">
                    <w:rPr>
                      <w:color w:val="auto"/>
                    </w:rPr>
                    <w:t>Writing</w:t>
                  </w:r>
                </w:p>
              </w:tc>
              <w:tc>
                <w:tcPr>
                  <w:tcW w:w="448" w:type="dxa"/>
                  <w:vMerge/>
                  <w:textDirection w:val="tbRl"/>
                  <w:vAlign w:val="center"/>
                </w:tcPr>
                <w:p w14:paraId="1A3D3019" w14:textId="77777777" w:rsidR="00790301" w:rsidRPr="00560E66" w:rsidRDefault="00790301" w:rsidP="00790301">
                  <w:pPr>
                    <w:ind w:left="113" w:right="113"/>
                    <w:jc w:val="center"/>
                    <w:rPr>
                      <w:color w:val="auto"/>
                      <w:sz w:val="16"/>
                    </w:rPr>
                  </w:pPr>
                </w:p>
              </w:tc>
              <w:tc>
                <w:tcPr>
                  <w:tcW w:w="1122" w:type="dxa"/>
                  <w:vAlign w:val="center"/>
                </w:tcPr>
                <w:p w14:paraId="386AE5B5" w14:textId="77777777" w:rsidR="00790301" w:rsidRPr="00560E66" w:rsidRDefault="00790301" w:rsidP="00790301">
                  <w:pPr>
                    <w:jc w:val="center"/>
                    <w:rPr>
                      <w:color w:val="auto"/>
                    </w:rPr>
                  </w:pPr>
                  <w:r w:rsidRPr="00560E66">
                    <w:rPr>
                      <w:color w:val="auto"/>
                    </w:rPr>
                    <w:t>95</w:t>
                  </w:r>
                </w:p>
              </w:tc>
              <w:tc>
                <w:tcPr>
                  <w:tcW w:w="1122" w:type="dxa"/>
                  <w:vAlign w:val="center"/>
                </w:tcPr>
                <w:p w14:paraId="77FB1430" w14:textId="77777777" w:rsidR="00790301" w:rsidRPr="00560E66" w:rsidRDefault="00790301" w:rsidP="00790301">
                  <w:pPr>
                    <w:jc w:val="center"/>
                    <w:rPr>
                      <w:color w:val="auto"/>
                    </w:rPr>
                  </w:pPr>
                  <w:r w:rsidRPr="00560E66">
                    <w:rPr>
                      <w:color w:val="auto"/>
                    </w:rPr>
                    <w:t>82</w:t>
                  </w:r>
                </w:p>
              </w:tc>
              <w:tc>
                <w:tcPr>
                  <w:tcW w:w="1122" w:type="dxa"/>
                  <w:vAlign w:val="center"/>
                </w:tcPr>
                <w:p w14:paraId="7642618E" w14:textId="77777777" w:rsidR="00790301" w:rsidRPr="00560E66" w:rsidRDefault="00790301" w:rsidP="00790301">
                  <w:pPr>
                    <w:jc w:val="center"/>
                    <w:rPr>
                      <w:color w:val="auto"/>
                    </w:rPr>
                  </w:pPr>
                  <w:r w:rsidRPr="00560E66">
                    <w:rPr>
                      <w:color w:val="auto"/>
                    </w:rPr>
                    <w:t>93</w:t>
                  </w:r>
                </w:p>
              </w:tc>
              <w:tc>
                <w:tcPr>
                  <w:tcW w:w="1122" w:type="dxa"/>
                  <w:vAlign w:val="center"/>
                </w:tcPr>
                <w:p w14:paraId="6BA588FB" w14:textId="77777777" w:rsidR="00790301" w:rsidRPr="00560E66" w:rsidRDefault="00790301" w:rsidP="00790301">
                  <w:pPr>
                    <w:jc w:val="center"/>
                    <w:rPr>
                      <w:color w:val="auto"/>
                    </w:rPr>
                  </w:pPr>
                  <w:r w:rsidRPr="00560E66">
                    <w:rPr>
                      <w:color w:val="auto"/>
                    </w:rPr>
                    <w:t>93</w:t>
                  </w:r>
                </w:p>
              </w:tc>
              <w:tc>
                <w:tcPr>
                  <w:tcW w:w="1122" w:type="dxa"/>
                  <w:vAlign w:val="center"/>
                </w:tcPr>
                <w:p w14:paraId="488503E3" w14:textId="77777777" w:rsidR="00790301" w:rsidRPr="00560E66" w:rsidRDefault="00790301" w:rsidP="00790301">
                  <w:pPr>
                    <w:jc w:val="center"/>
                    <w:rPr>
                      <w:color w:val="auto"/>
                    </w:rPr>
                  </w:pPr>
                  <w:r w:rsidRPr="00560E66">
                    <w:rPr>
                      <w:color w:val="auto"/>
                    </w:rPr>
                    <w:t>90</w:t>
                  </w:r>
                </w:p>
              </w:tc>
              <w:tc>
                <w:tcPr>
                  <w:tcW w:w="1122" w:type="dxa"/>
                  <w:vAlign w:val="center"/>
                </w:tcPr>
                <w:p w14:paraId="31F2FB4D" w14:textId="77777777" w:rsidR="00790301" w:rsidRPr="00560E66" w:rsidRDefault="00790301" w:rsidP="00790301">
                  <w:pPr>
                    <w:jc w:val="center"/>
                    <w:rPr>
                      <w:color w:val="auto"/>
                    </w:rPr>
                  </w:pPr>
                  <w:r w:rsidRPr="00560E66">
                    <w:rPr>
                      <w:color w:val="auto"/>
                    </w:rPr>
                    <w:t>88</w:t>
                  </w:r>
                </w:p>
              </w:tc>
            </w:tr>
            <w:tr w:rsidR="00790301" w:rsidRPr="00560E66" w14:paraId="35065B50" w14:textId="77777777" w:rsidTr="00790301">
              <w:trPr>
                <w:cantSplit/>
                <w:trHeight w:val="274"/>
              </w:trPr>
              <w:tc>
                <w:tcPr>
                  <w:tcW w:w="1479" w:type="dxa"/>
                  <w:vMerge/>
                  <w:vAlign w:val="center"/>
                </w:tcPr>
                <w:p w14:paraId="6DE4D45E" w14:textId="77777777" w:rsidR="00790301" w:rsidRPr="00560E66" w:rsidRDefault="00790301" w:rsidP="00790301">
                  <w:pPr>
                    <w:jc w:val="center"/>
                    <w:rPr>
                      <w:color w:val="auto"/>
                    </w:rPr>
                  </w:pPr>
                </w:p>
              </w:tc>
              <w:tc>
                <w:tcPr>
                  <w:tcW w:w="1545" w:type="dxa"/>
                  <w:vMerge/>
                  <w:vAlign w:val="center"/>
                </w:tcPr>
                <w:p w14:paraId="7EB40657" w14:textId="77777777" w:rsidR="00790301" w:rsidRPr="00560E66" w:rsidRDefault="00790301" w:rsidP="00790301">
                  <w:pPr>
                    <w:jc w:val="center"/>
                    <w:rPr>
                      <w:color w:val="auto"/>
                    </w:rPr>
                  </w:pPr>
                </w:p>
              </w:tc>
              <w:tc>
                <w:tcPr>
                  <w:tcW w:w="448" w:type="dxa"/>
                  <w:vMerge/>
                  <w:textDirection w:val="tbRl"/>
                  <w:vAlign w:val="center"/>
                </w:tcPr>
                <w:p w14:paraId="5B6442E5" w14:textId="77777777" w:rsidR="00790301" w:rsidRPr="00560E66" w:rsidRDefault="00790301" w:rsidP="00790301">
                  <w:pPr>
                    <w:ind w:left="113" w:right="113"/>
                    <w:jc w:val="center"/>
                    <w:rPr>
                      <w:color w:val="auto"/>
                      <w:sz w:val="16"/>
                    </w:rPr>
                  </w:pPr>
                </w:p>
              </w:tc>
              <w:tc>
                <w:tcPr>
                  <w:tcW w:w="1122" w:type="dxa"/>
                  <w:vAlign w:val="center"/>
                </w:tcPr>
                <w:p w14:paraId="30673ECF" w14:textId="77777777" w:rsidR="00790301" w:rsidRPr="00560E66" w:rsidRDefault="00790301" w:rsidP="00790301">
                  <w:pPr>
                    <w:jc w:val="center"/>
                    <w:rPr>
                      <w:i/>
                      <w:color w:val="FF0000"/>
                      <w:sz w:val="18"/>
                    </w:rPr>
                  </w:pPr>
                  <w:r w:rsidRPr="00560E66">
                    <w:rPr>
                      <w:i/>
                      <w:color w:val="FF0000"/>
                      <w:sz w:val="18"/>
                    </w:rPr>
                    <w:t>74</w:t>
                  </w:r>
                </w:p>
              </w:tc>
              <w:tc>
                <w:tcPr>
                  <w:tcW w:w="1122" w:type="dxa"/>
                  <w:vAlign w:val="center"/>
                </w:tcPr>
                <w:p w14:paraId="03E14918" w14:textId="77777777" w:rsidR="00790301" w:rsidRPr="00560E66" w:rsidRDefault="00790301" w:rsidP="00790301">
                  <w:pPr>
                    <w:jc w:val="center"/>
                    <w:rPr>
                      <w:i/>
                      <w:color w:val="FF0000"/>
                      <w:sz w:val="18"/>
                    </w:rPr>
                  </w:pPr>
                  <w:r w:rsidRPr="00560E66">
                    <w:rPr>
                      <w:i/>
                      <w:color w:val="FF0000"/>
                      <w:sz w:val="18"/>
                    </w:rPr>
                    <w:t>76</w:t>
                  </w:r>
                </w:p>
              </w:tc>
              <w:tc>
                <w:tcPr>
                  <w:tcW w:w="1122" w:type="dxa"/>
                  <w:vAlign w:val="center"/>
                </w:tcPr>
                <w:p w14:paraId="74BDD28A" w14:textId="77777777" w:rsidR="00790301" w:rsidRPr="00560E66" w:rsidRDefault="00790301" w:rsidP="00790301">
                  <w:pPr>
                    <w:jc w:val="center"/>
                    <w:rPr>
                      <w:i/>
                      <w:color w:val="FF0000"/>
                      <w:sz w:val="18"/>
                    </w:rPr>
                  </w:pPr>
                  <w:r w:rsidRPr="00560E66">
                    <w:rPr>
                      <w:i/>
                      <w:color w:val="FF0000"/>
                      <w:sz w:val="18"/>
                    </w:rPr>
                    <w:t>78</w:t>
                  </w:r>
                </w:p>
              </w:tc>
              <w:tc>
                <w:tcPr>
                  <w:tcW w:w="1122" w:type="dxa"/>
                  <w:vAlign w:val="center"/>
                </w:tcPr>
                <w:p w14:paraId="3142FA82" w14:textId="77777777" w:rsidR="00790301" w:rsidRPr="00560E66" w:rsidRDefault="00790301" w:rsidP="00790301">
                  <w:pPr>
                    <w:jc w:val="center"/>
                    <w:rPr>
                      <w:i/>
                      <w:color w:val="FF0000"/>
                      <w:sz w:val="18"/>
                    </w:rPr>
                  </w:pPr>
                  <w:r w:rsidRPr="00560E66">
                    <w:rPr>
                      <w:i/>
                      <w:color w:val="FF0000"/>
                      <w:sz w:val="18"/>
                    </w:rPr>
                    <w:t>78</w:t>
                  </w:r>
                </w:p>
              </w:tc>
              <w:tc>
                <w:tcPr>
                  <w:tcW w:w="1122" w:type="dxa"/>
                  <w:shd w:val="clear" w:color="auto" w:fill="D9D9D9" w:themeFill="background1" w:themeFillShade="D9"/>
                  <w:vAlign w:val="center"/>
                </w:tcPr>
                <w:p w14:paraId="71912929"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68E50539" w14:textId="77777777" w:rsidR="00790301" w:rsidRPr="00560E66" w:rsidRDefault="00790301" w:rsidP="00790301">
                  <w:pPr>
                    <w:jc w:val="center"/>
                    <w:rPr>
                      <w:i/>
                      <w:color w:val="auto"/>
                      <w:sz w:val="18"/>
                    </w:rPr>
                  </w:pPr>
                </w:p>
              </w:tc>
            </w:tr>
            <w:tr w:rsidR="00790301" w:rsidRPr="00560E66" w14:paraId="1086B08F" w14:textId="77777777" w:rsidTr="00790301">
              <w:trPr>
                <w:cantSplit/>
                <w:trHeight w:val="274"/>
              </w:trPr>
              <w:tc>
                <w:tcPr>
                  <w:tcW w:w="1479" w:type="dxa"/>
                  <w:vMerge/>
                  <w:vAlign w:val="center"/>
                </w:tcPr>
                <w:p w14:paraId="4FE9CC5A" w14:textId="77777777" w:rsidR="00790301" w:rsidRPr="00560E66" w:rsidRDefault="00790301" w:rsidP="00790301">
                  <w:pPr>
                    <w:jc w:val="center"/>
                    <w:rPr>
                      <w:color w:val="auto"/>
                    </w:rPr>
                  </w:pPr>
                </w:p>
              </w:tc>
              <w:tc>
                <w:tcPr>
                  <w:tcW w:w="1545" w:type="dxa"/>
                  <w:vMerge w:val="restart"/>
                  <w:vAlign w:val="center"/>
                </w:tcPr>
                <w:p w14:paraId="57516CB0" w14:textId="77777777" w:rsidR="00790301" w:rsidRPr="00560E66" w:rsidRDefault="00790301" w:rsidP="00790301">
                  <w:pPr>
                    <w:jc w:val="center"/>
                    <w:rPr>
                      <w:color w:val="auto"/>
                    </w:rPr>
                  </w:pPr>
                  <w:proofErr w:type="spellStart"/>
                  <w:r w:rsidRPr="00560E66">
                    <w:rPr>
                      <w:color w:val="auto"/>
                    </w:rPr>
                    <w:t>Maths</w:t>
                  </w:r>
                  <w:proofErr w:type="spellEnd"/>
                </w:p>
              </w:tc>
              <w:tc>
                <w:tcPr>
                  <w:tcW w:w="448" w:type="dxa"/>
                  <w:vMerge/>
                  <w:textDirection w:val="tbRl"/>
                  <w:vAlign w:val="center"/>
                </w:tcPr>
                <w:p w14:paraId="69C38D87" w14:textId="77777777" w:rsidR="00790301" w:rsidRPr="00560E66" w:rsidRDefault="00790301" w:rsidP="00790301">
                  <w:pPr>
                    <w:ind w:left="113" w:right="113"/>
                    <w:jc w:val="center"/>
                    <w:rPr>
                      <w:color w:val="auto"/>
                      <w:sz w:val="16"/>
                    </w:rPr>
                  </w:pPr>
                </w:p>
              </w:tc>
              <w:tc>
                <w:tcPr>
                  <w:tcW w:w="1122" w:type="dxa"/>
                  <w:vAlign w:val="center"/>
                </w:tcPr>
                <w:p w14:paraId="0E195BF9" w14:textId="77777777" w:rsidR="00790301" w:rsidRPr="00560E66" w:rsidRDefault="00790301" w:rsidP="00790301">
                  <w:pPr>
                    <w:jc w:val="center"/>
                    <w:rPr>
                      <w:color w:val="auto"/>
                    </w:rPr>
                  </w:pPr>
                  <w:r w:rsidRPr="00560E66">
                    <w:rPr>
                      <w:color w:val="auto"/>
                    </w:rPr>
                    <w:t>90</w:t>
                  </w:r>
                </w:p>
              </w:tc>
              <w:tc>
                <w:tcPr>
                  <w:tcW w:w="1122" w:type="dxa"/>
                  <w:vAlign w:val="center"/>
                </w:tcPr>
                <w:p w14:paraId="7DEA1075" w14:textId="77777777" w:rsidR="00790301" w:rsidRPr="00560E66" w:rsidRDefault="00790301" w:rsidP="00790301">
                  <w:pPr>
                    <w:jc w:val="center"/>
                    <w:rPr>
                      <w:color w:val="auto"/>
                    </w:rPr>
                  </w:pPr>
                  <w:r w:rsidRPr="00560E66">
                    <w:rPr>
                      <w:color w:val="auto"/>
                    </w:rPr>
                    <w:t>92</w:t>
                  </w:r>
                </w:p>
              </w:tc>
              <w:tc>
                <w:tcPr>
                  <w:tcW w:w="1122" w:type="dxa"/>
                  <w:vAlign w:val="center"/>
                </w:tcPr>
                <w:p w14:paraId="178650C4" w14:textId="77777777" w:rsidR="00790301" w:rsidRPr="00560E66" w:rsidRDefault="00790301" w:rsidP="00790301">
                  <w:pPr>
                    <w:jc w:val="center"/>
                    <w:rPr>
                      <w:color w:val="auto"/>
                    </w:rPr>
                  </w:pPr>
                  <w:r w:rsidRPr="00560E66">
                    <w:rPr>
                      <w:color w:val="auto"/>
                    </w:rPr>
                    <w:t>93</w:t>
                  </w:r>
                </w:p>
              </w:tc>
              <w:tc>
                <w:tcPr>
                  <w:tcW w:w="1122" w:type="dxa"/>
                  <w:vAlign w:val="center"/>
                </w:tcPr>
                <w:p w14:paraId="16D53736" w14:textId="77777777" w:rsidR="00790301" w:rsidRPr="00560E66" w:rsidRDefault="00790301" w:rsidP="00790301">
                  <w:pPr>
                    <w:jc w:val="center"/>
                    <w:rPr>
                      <w:color w:val="auto"/>
                    </w:rPr>
                  </w:pPr>
                  <w:r w:rsidRPr="00560E66">
                    <w:rPr>
                      <w:color w:val="auto"/>
                    </w:rPr>
                    <w:t>92</w:t>
                  </w:r>
                </w:p>
              </w:tc>
              <w:tc>
                <w:tcPr>
                  <w:tcW w:w="1122" w:type="dxa"/>
                  <w:vAlign w:val="center"/>
                </w:tcPr>
                <w:p w14:paraId="0CB3DB73" w14:textId="77777777" w:rsidR="00790301" w:rsidRPr="00560E66" w:rsidRDefault="00790301" w:rsidP="00790301">
                  <w:pPr>
                    <w:jc w:val="center"/>
                    <w:rPr>
                      <w:color w:val="auto"/>
                    </w:rPr>
                  </w:pPr>
                  <w:r w:rsidRPr="00560E66">
                    <w:rPr>
                      <w:color w:val="auto"/>
                    </w:rPr>
                    <w:t>91</w:t>
                  </w:r>
                </w:p>
              </w:tc>
              <w:tc>
                <w:tcPr>
                  <w:tcW w:w="1122" w:type="dxa"/>
                  <w:vAlign w:val="center"/>
                </w:tcPr>
                <w:p w14:paraId="6AF69388" w14:textId="77777777" w:rsidR="00790301" w:rsidRPr="00560E66" w:rsidRDefault="00790301" w:rsidP="00790301">
                  <w:pPr>
                    <w:jc w:val="center"/>
                    <w:rPr>
                      <w:color w:val="auto"/>
                    </w:rPr>
                  </w:pPr>
                  <w:r w:rsidRPr="00560E66">
                    <w:rPr>
                      <w:color w:val="auto"/>
                    </w:rPr>
                    <w:t>78</w:t>
                  </w:r>
                </w:p>
              </w:tc>
            </w:tr>
            <w:tr w:rsidR="00790301" w:rsidRPr="00560E66" w14:paraId="554CA4CD" w14:textId="77777777" w:rsidTr="00790301">
              <w:trPr>
                <w:cantSplit/>
                <w:trHeight w:val="274"/>
              </w:trPr>
              <w:tc>
                <w:tcPr>
                  <w:tcW w:w="1479" w:type="dxa"/>
                  <w:vMerge/>
                  <w:vAlign w:val="center"/>
                </w:tcPr>
                <w:p w14:paraId="1A302403" w14:textId="77777777" w:rsidR="00790301" w:rsidRPr="00560E66" w:rsidRDefault="00790301" w:rsidP="00790301">
                  <w:pPr>
                    <w:jc w:val="center"/>
                    <w:rPr>
                      <w:color w:val="auto"/>
                    </w:rPr>
                  </w:pPr>
                </w:p>
              </w:tc>
              <w:tc>
                <w:tcPr>
                  <w:tcW w:w="1545" w:type="dxa"/>
                  <w:vMerge/>
                  <w:vAlign w:val="center"/>
                </w:tcPr>
                <w:p w14:paraId="43E23432" w14:textId="77777777" w:rsidR="00790301" w:rsidRPr="00560E66" w:rsidRDefault="00790301" w:rsidP="00790301">
                  <w:pPr>
                    <w:jc w:val="center"/>
                    <w:rPr>
                      <w:color w:val="auto"/>
                    </w:rPr>
                  </w:pPr>
                </w:p>
              </w:tc>
              <w:tc>
                <w:tcPr>
                  <w:tcW w:w="448" w:type="dxa"/>
                  <w:vMerge/>
                  <w:textDirection w:val="tbRl"/>
                  <w:vAlign w:val="center"/>
                </w:tcPr>
                <w:p w14:paraId="57F94957" w14:textId="77777777" w:rsidR="00790301" w:rsidRPr="00560E66" w:rsidRDefault="00790301" w:rsidP="00790301">
                  <w:pPr>
                    <w:ind w:left="113" w:right="113"/>
                    <w:jc w:val="center"/>
                    <w:rPr>
                      <w:color w:val="auto"/>
                      <w:sz w:val="16"/>
                    </w:rPr>
                  </w:pPr>
                </w:p>
              </w:tc>
              <w:tc>
                <w:tcPr>
                  <w:tcW w:w="1122" w:type="dxa"/>
                  <w:vAlign w:val="center"/>
                </w:tcPr>
                <w:p w14:paraId="117F6D05" w14:textId="77777777" w:rsidR="00790301" w:rsidRPr="00560E66" w:rsidRDefault="00790301" w:rsidP="00790301">
                  <w:pPr>
                    <w:jc w:val="center"/>
                    <w:rPr>
                      <w:i/>
                      <w:color w:val="FF0000"/>
                      <w:sz w:val="18"/>
                    </w:rPr>
                  </w:pPr>
                  <w:r w:rsidRPr="00560E66">
                    <w:rPr>
                      <w:i/>
                      <w:color w:val="FF0000"/>
                      <w:sz w:val="18"/>
                    </w:rPr>
                    <w:t>70</w:t>
                  </w:r>
                </w:p>
              </w:tc>
              <w:tc>
                <w:tcPr>
                  <w:tcW w:w="1122" w:type="dxa"/>
                  <w:vAlign w:val="center"/>
                </w:tcPr>
                <w:p w14:paraId="60860732" w14:textId="77777777" w:rsidR="00790301" w:rsidRPr="00560E66" w:rsidRDefault="00790301" w:rsidP="00790301">
                  <w:pPr>
                    <w:jc w:val="center"/>
                    <w:rPr>
                      <w:i/>
                      <w:color w:val="FF0000"/>
                      <w:sz w:val="18"/>
                    </w:rPr>
                  </w:pPr>
                  <w:r w:rsidRPr="00560E66">
                    <w:rPr>
                      <w:i/>
                      <w:color w:val="FF0000"/>
                      <w:sz w:val="18"/>
                    </w:rPr>
                    <w:t>75</w:t>
                  </w:r>
                </w:p>
              </w:tc>
              <w:tc>
                <w:tcPr>
                  <w:tcW w:w="1122" w:type="dxa"/>
                  <w:vAlign w:val="center"/>
                </w:tcPr>
                <w:p w14:paraId="10CEF3B7" w14:textId="77777777" w:rsidR="00790301" w:rsidRPr="00560E66" w:rsidRDefault="00790301" w:rsidP="00790301">
                  <w:pPr>
                    <w:jc w:val="center"/>
                    <w:rPr>
                      <w:i/>
                      <w:color w:val="FF0000"/>
                      <w:sz w:val="18"/>
                    </w:rPr>
                  </w:pPr>
                  <w:r w:rsidRPr="00560E66">
                    <w:rPr>
                      <w:i/>
                      <w:color w:val="FF0000"/>
                      <w:sz w:val="18"/>
                    </w:rPr>
                    <w:t>76</w:t>
                  </w:r>
                </w:p>
              </w:tc>
              <w:tc>
                <w:tcPr>
                  <w:tcW w:w="1122" w:type="dxa"/>
                  <w:vAlign w:val="center"/>
                </w:tcPr>
                <w:p w14:paraId="6E687231" w14:textId="77777777" w:rsidR="00790301" w:rsidRPr="00560E66" w:rsidRDefault="00790301" w:rsidP="00790301">
                  <w:pPr>
                    <w:jc w:val="center"/>
                    <w:rPr>
                      <w:i/>
                      <w:color w:val="FF0000"/>
                      <w:sz w:val="18"/>
                    </w:rPr>
                  </w:pPr>
                  <w:r w:rsidRPr="00560E66">
                    <w:rPr>
                      <w:i/>
                      <w:color w:val="FF0000"/>
                      <w:sz w:val="18"/>
                    </w:rPr>
                    <w:t>79</w:t>
                  </w:r>
                </w:p>
              </w:tc>
              <w:tc>
                <w:tcPr>
                  <w:tcW w:w="1122" w:type="dxa"/>
                  <w:shd w:val="clear" w:color="auto" w:fill="D9D9D9" w:themeFill="background1" w:themeFillShade="D9"/>
                  <w:vAlign w:val="center"/>
                </w:tcPr>
                <w:p w14:paraId="37F1C347"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50DD4FD6" w14:textId="77777777" w:rsidR="00790301" w:rsidRPr="00560E66" w:rsidRDefault="00790301" w:rsidP="00790301">
                  <w:pPr>
                    <w:jc w:val="center"/>
                    <w:rPr>
                      <w:i/>
                      <w:color w:val="auto"/>
                      <w:sz w:val="18"/>
                    </w:rPr>
                  </w:pPr>
                </w:p>
              </w:tc>
            </w:tr>
            <w:tr w:rsidR="00790301" w:rsidRPr="00560E66" w14:paraId="74BB6033" w14:textId="77777777" w:rsidTr="00790301">
              <w:trPr>
                <w:cantSplit/>
                <w:trHeight w:val="274"/>
              </w:trPr>
              <w:tc>
                <w:tcPr>
                  <w:tcW w:w="1479" w:type="dxa"/>
                  <w:vMerge/>
                  <w:vAlign w:val="center"/>
                </w:tcPr>
                <w:p w14:paraId="785B2110" w14:textId="77777777" w:rsidR="00790301" w:rsidRPr="00560E66" w:rsidRDefault="00790301" w:rsidP="00790301">
                  <w:pPr>
                    <w:jc w:val="center"/>
                    <w:rPr>
                      <w:color w:val="auto"/>
                    </w:rPr>
                  </w:pPr>
                </w:p>
              </w:tc>
              <w:tc>
                <w:tcPr>
                  <w:tcW w:w="1545" w:type="dxa"/>
                  <w:vMerge w:val="restart"/>
                  <w:vAlign w:val="center"/>
                </w:tcPr>
                <w:p w14:paraId="5B1065C9" w14:textId="77777777" w:rsidR="00790301" w:rsidRPr="00560E66" w:rsidRDefault="00790301" w:rsidP="00790301">
                  <w:pPr>
                    <w:jc w:val="center"/>
                    <w:rPr>
                      <w:color w:val="auto"/>
                    </w:rPr>
                  </w:pPr>
                  <w:r w:rsidRPr="00560E66">
                    <w:rPr>
                      <w:color w:val="auto"/>
                    </w:rPr>
                    <w:t>SPAG</w:t>
                  </w:r>
                </w:p>
              </w:tc>
              <w:tc>
                <w:tcPr>
                  <w:tcW w:w="448" w:type="dxa"/>
                  <w:vMerge/>
                  <w:textDirection w:val="tbRl"/>
                  <w:vAlign w:val="center"/>
                </w:tcPr>
                <w:p w14:paraId="1F1DBD58" w14:textId="77777777" w:rsidR="00790301" w:rsidRPr="00560E66" w:rsidRDefault="00790301" w:rsidP="00790301">
                  <w:pPr>
                    <w:ind w:left="113" w:right="113"/>
                    <w:jc w:val="center"/>
                    <w:rPr>
                      <w:color w:val="auto"/>
                      <w:sz w:val="16"/>
                    </w:rPr>
                  </w:pPr>
                </w:p>
              </w:tc>
              <w:tc>
                <w:tcPr>
                  <w:tcW w:w="1122" w:type="dxa"/>
                  <w:vAlign w:val="center"/>
                </w:tcPr>
                <w:p w14:paraId="52F58CF8" w14:textId="77777777" w:rsidR="00790301" w:rsidRPr="00560E66" w:rsidRDefault="00790301" w:rsidP="00790301">
                  <w:pPr>
                    <w:jc w:val="center"/>
                    <w:rPr>
                      <w:color w:val="auto"/>
                    </w:rPr>
                  </w:pPr>
                  <w:r w:rsidRPr="00560E66">
                    <w:rPr>
                      <w:color w:val="auto"/>
                    </w:rPr>
                    <w:t>90</w:t>
                  </w:r>
                </w:p>
              </w:tc>
              <w:tc>
                <w:tcPr>
                  <w:tcW w:w="1122" w:type="dxa"/>
                  <w:vAlign w:val="center"/>
                </w:tcPr>
                <w:p w14:paraId="312DE22F" w14:textId="77777777" w:rsidR="00790301" w:rsidRPr="00560E66" w:rsidRDefault="00790301" w:rsidP="00790301">
                  <w:pPr>
                    <w:jc w:val="center"/>
                    <w:rPr>
                      <w:color w:val="auto"/>
                    </w:rPr>
                  </w:pPr>
                  <w:r w:rsidRPr="00560E66">
                    <w:rPr>
                      <w:color w:val="auto"/>
                    </w:rPr>
                    <w:t>88</w:t>
                  </w:r>
                </w:p>
              </w:tc>
              <w:tc>
                <w:tcPr>
                  <w:tcW w:w="1122" w:type="dxa"/>
                  <w:vAlign w:val="center"/>
                </w:tcPr>
                <w:p w14:paraId="484AE19E" w14:textId="77777777" w:rsidR="00790301" w:rsidRPr="00560E66" w:rsidRDefault="00790301" w:rsidP="00790301">
                  <w:pPr>
                    <w:jc w:val="center"/>
                    <w:rPr>
                      <w:color w:val="auto"/>
                    </w:rPr>
                  </w:pPr>
                  <w:r w:rsidRPr="00560E66">
                    <w:rPr>
                      <w:color w:val="auto"/>
                    </w:rPr>
                    <w:t>91</w:t>
                  </w:r>
                </w:p>
              </w:tc>
              <w:tc>
                <w:tcPr>
                  <w:tcW w:w="1122" w:type="dxa"/>
                  <w:vAlign w:val="center"/>
                </w:tcPr>
                <w:p w14:paraId="7BBE3B3E" w14:textId="77777777" w:rsidR="00790301" w:rsidRPr="00560E66" w:rsidRDefault="00790301" w:rsidP="00790301">
                  <w:pPr>
                    <w:jc w:val="center"/>
                    <w:rPr>
                      <w:color w:val="auto"/>
                    </w:rPr>
                  </w:pPr>
                  <w:r w:rsidRPr="00560E66">
                    <w:rPr>
                      <w:color w:val="auto"/>
                    </w:rPr>
                    <w:t>96</w:t>
                  </w:r>
                </w:p>
              </w:tc>
              <w:tc>
                <w:tcPr>
                  <w:tcW w:w="1122" w:type="dxa"/>
                  <w:vAlign w:val="center"/>
                </w:tcPr>
                <w:p w14:paraId="4BF3B95A" w14:textId="77777777" w:rsidR="00790301" w:rsidRPr="00560E66" w:rsidRDefault="00790301" w:rsidP="00790301">
                  <w:pPr>
                    <w:jc w:val="center"/>
                    <w:rPr>
                      <w:color w:val="auto"/>
                    </w:rPr>
                  </w:pPr>
                  <w:r w:rsidRPr="00560E66">
                    <w:rPr>
                      <w:color w:val="auto"/>
                    </w:rPr>
                    <w:t>92</w:t>
                  </w:r>
                </w:p>
              </w:tc>
              <w:tc>
                <w:tcPr>
                  <w:tcW w:w="1122" w:type="dxa"/>
                  <w:vAlign w:val="center"/>
                </w:tcPr>
                <w:p w14:paraId="601A8709" w14:textId="77777777" w:rsidR="00790301" w:rsidRPr="00560E66" w:rsidRDefault="00790301" w:rsidP="00790301">
                  <w:pPr>
                    <w:jc w:val="center"/>
                    <w:rPr>
                      <w:color w:val="auto"/>
                    </w:rPr>
                  </w:pPr>
                  <w:r w:rsidRPr="00560E66">
                    <w:rPr>
                      <w:color w:val="auto"/>
                    </w:rPr>
                    <w:t>95</w:t>
                  </w:r>
                </w:p>
              </w:tc>
            </w:tr>
            <w:tr w:rsidR="00790301" w:rsidRPr="00560E66" w14:paraId="33382EAC" w14:textId="77777777" w:rsidTr="00790301">
              <w:trPr>
                <w:cantSplit/>
                <w:trHeight w:val="274"/>
              </w:trPr>
              <w:tc>
                <w:tcPr>
                  <w:tcW w:w="1479" w:type="dxa"/>
                  <w:vMerge/>
                  <w:vAlign w:val="center"/>
                </w:tcPr>
                <w:p w14:paraId="53666F00" w14:textId="77777777" w:rsidR="00790301" w:rsidRPr="00560E66" w:rsidRDefault="00790301" w:rsidP="00790301">
                  <w:pPr>
                    <w:jc w:val="center"/>
                    <w:rPr>
                      <w:color w:val="auto"/>
                    </w:rPr>
                  </w:pPr>
                </w:p>
              </w:tc>
              <w:tc>
                <w:tcPr>
                  <w:tcW w:w="1545" w:type="dxa"/>
                  <w:vMerge/>
                  <w:vAlign w:val="center"/>
                </w:tcPr>
                <w:p w14:paraId="1BBD3130" w14:textId="77777777" w:rsidR="00790301" w:rsidRPr="00560E66" w:rsidRDefault="00790301" w:rsidP="00790301">
                  <w:pPr>
                    <w:jc w:val="center"/>
                    <w:rPr>
                      <w:color w:val="auto"/>
                    </w:rPr>
                  </w:pPr>
                </w:p>
              </w:tc>
              <w:tc>
                <w:tcPr>
                  <w:tcW w:w="448" w:type="dxa"/>
                  <w:vMerge/>
                  <w:textDirection w:val="tbRl"/>
                  <w:vAlign w:val="center"/>
                </w:tcPr>
                <w:p w14:paraId="4414BE47" w14:textId="77777777" w:rsidR="00790301" w:rsidRPr="00560E66" w:rsidRDefault="00790301" w:rsidP="00790301">
                  <w:pPr>
                    <w:ind w:left="113" w:right="113"/>
                    <w:jc w:val="center"/>
                    <w:rPr>
                      <w:color w:val="auto"/>
                      <w:sz w:val="16"/>
                    </w:rPr>
                  </w:pPr>
                </w:p>
              </w:tc>
              <w:tc>
                <w:tcPr>
                  <w:tcW w:w="1122" w:type="dxa"/>
                  <w:vAlign w:val="center"/>
                </w:tcPr>
                <w:p w14:paraId="6AD47A57" w14:textId="77777777" w:rsidR="00790301" w:rsidRPr="00560E66" w:rsidRDefault="00790301" w:rsidP="00790301">
                  <w:pPr>
                    <w:jc w:val="center"/>
                    <w:rPr>
                      <w:i/>
                      <w:color w:val="FF0000"/>
                      <w:sz w:val="18"/>
                    </w:rPr>
                  </w:pPr>
                  <w:r w:rsidRPr="00560E66">
                    <w:rPr>
                      <w:i/>
                      <w:color w:val="FF0000"/>
                      <w:sz w:val="18"/>
                    </w:rPr>
                    <w:t>73</w:t>
                  </w:r>
                </w:p>
              </w:tc>
              <w:tc>
                <w:tcPr>
                  <w:tcW w:w="1122" w:type="dxa"/>
                  <w:vAlign w:val="center"/>
                </w:tcPr>
                <w:p w14:paraId="74663F8F" w14:textId="77777777" w:rsidR="00790301" w:rsidRPr="00560E66" w:rsidRDefault="00790301" w:rsidP="00790301">
                  <w:pPr>
                    <w:jc w:val="center"/>
                    <w:rPr>
                      <w:i/>
                      <w:color w:val="FF0000"/>
                      <w:sz w:val="18"/>
                    </w:rPr>
                  </w:pPr>
                  <w:r w:rsidRPr="00560E66">
                    <w:rPr>
                      <w:i/>
                      <w:color w:val="FF0000"/>
                      <w:sz w:val="18"/>
                    </w:rPr>
                    <w:t>77</w:t>
                  </w:r>
                </w:p>
              </w:tc>
              <w:tc>
                <w:tcPr>
                  <w:tcW w:w="1122" w:type="dxa"/>
                  <w:vAlign w:val="center"/>
                </w:tcPr>
                <w:p w14:paraId="11A136C8" w14:textId="77777777" w:rsidR="00790301" w:rsidRPr="00560E66" w:rsidRDefault="00790301" w:rsidP="00790301">
                  <w:pPr>
                    <w:jc w:val="center"/>
                    <w:rPr>
                      <w:i/>
                      <w:color w:val="FF0000"/>
                      <w:sz w:val="18"/>
                    </w:rPr>
                  </w:pPr>
                  <w:r w:rsidRPr="00560E66">
                    <w:rPr>
                      <w:i/>
                      <w:color w:val="FF0000"/>
                      <w:sz w:val="18"/>
                    </w:rPr>
                    <w:t>78</w:t>
                  </w:r>
                </w:p>
              </w:tc>
              <w:tc>
                <w:tcPr>
                  <w:tcW w:w="1122" w:type="dxa"/>
                  <w:vAlign w:val="center"/>
                </w:tcPr>
                <w:p w14:paraId="70BF446F" w14:textId="77777777" w:rsidR="00790301" w:rsidRPr="00560E66" w:rsidRDefault="00790301" w:rsidP="00790301">
                  <w:pPr>
                    <w:jc w:val="center"/>
                    <w:rPr>
                      <w:i/>
                      <w:color w:val="FF0000"/>
                      <w:sz w:val="18"/>
                    </w:rPr>
                  </w:pPr>
                  <w:r w:rsidRPr="00560E66">
                    <w:rPr>
                      <w:i/>
                      <w:color w:val="FF0000"/>
                      <w:sz w:val="18"/>
                    </w:rPr>
                    <w:t>78</w:t>
                  </w:r>
                </w:p>
              </w:tc>
              <w:tc>
                <w:tcPr>
                  <w:tcW w:w="1122" w:type="dxa"/>
                  <w:shd w:val="clear" w:color="auto" w:fill="D9D9D9" w:themeFill="background1" w:themeFillShade="D9"/>
                  <w:vAlign w:val="center"/>
                </w:tcPr>
                <w:p w14:paraId="74B155D9"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52376C07" w14:textId="77777777" w:rsidR="00790301" w:rsidRPr="00560E66" w:rsidRDefault="00790301" w:rsidP="00790301">
                  <w:pPr>
                    <w:jc w:val="center"/>
                    <w:rPr>
                      <w:i/>
                      <w:color w:val="auto"/>
                      <w:sz w:val="18"/>
                    </w:rPr>
                  </w:pPr>
                </w:p>
              </w:tc>
            </w:tr>
            <w:tr w:rsidR="00790301" w:rsidRPr="00560E66" w14:paraId="49A31EC7" w14:textId="77777777" w:rsidTr="00790301">
              <w:trPr>
                <w:cantSplit/>
                <w:trHeight w:val="274"/>
              </w:trPr>
              <w:tc>
                <w:tcPr>
                  <w:tcW w:w="1479" w:type="dxa"/>
                  <w:vMerge w:val="restart"/>
                  <w:vAlign w:val="center"/>
                </w:tcPr>
                <w:p w14:paraId="0D634611" w14:textId="77777777" w:rsidR="00790301" w:rsidRPr="00560E66" w:rsidRDefault="00790301" w:rsidP="00790301">
                  <w:pPr>
                    <w:jc w:val="center"/>
                    <w:rPr>
                      <w:color w:val="auto"/>
                    </w:rPr>
                  </w:pPr>
                  <w:r w:rsidRPr="00560E66">
                    <w:rPr>
                      <w:color w:val="auto"/>
                    </w:rPr>
                    <w:t>Year 6</w:t>
                  </w:r>
                </w:p>
              </w:tc>
              <w:tc>
                <w:tcPr>
                  <w:tcW w:w="1545" w:type="dxa"/>
                  <w:vMerge w:val="restart"/>
                  <w:vAlign w:val="center"/>
                </w:tcPr>
                <w:p w14:paraId="3483BBE4" w14:textId="77777777" w:rsidR="00790301" w:rsidRPr="00560E66" w:rsidRDefault="00790301" w:rsidP="00790301">
                  <w:pPr>
                    <w:jc w:val="center"/>
                    <w:rPr>
                      <w:color w:val="auto"/>
                    </w:rPr>
                  </w:pPr>
                  <w:r w:rsidRPr="00560E66">
                    <w:rPr>
                      <w:color w:val="auto"/>
                    </w:rPr>
                    <w:t>Reading</w:t>
                  </w:r>
                </w:p>
              </w:tc>
              <w:tc>
                <w:tcPr>
                  <w:tcW w:w="448" w:type="dxa"/>
                  <w:vMerge w:val="restart"/>
                  <w:textDirection w:val="tbRl"/>
                  <w:vAlign w:val="center"/>
                </w:tcPr>
                <w:p w14:paraId="3CCBD8C5" w14:textId="77777777" w:rsidR="00790301" w:rsidRPr="00560E66" w:rsidRDefault="00790301" w:rsidP="00790301">
                  <w:pPr>
                    <w:ind w:left="113" w:right="113"/>
                    <w:jc w:val="center"/>
                    <w:rPr>
                      <w:color w:val="auto"/>
                      <w:sz w:val="16"/>
                    </w:rPr>
                  </w:pPr>
                  <w:r w:rsidRPr="00560E66">
                    <w:rPr>
                      <w:color w:val="auto"/>
                      <w:sz w:val="16"/>
                    </w:rPr>
                    <w:t>Greater Depth / High Score</w:t>
                  </w:r>
                </w:p>
              </w:tc>
              <w:tc>
                <w:tcPr>
                  <w:tcW w:w="1122" w:type="dxa"/>
                  <w:vAlign w:val="center"/>
                </w:tcPr>
                <w:p w14:paraId="7347C738" w14:textId="77777777" w:rsidR="00790301" w:rsidRPr="00560E66" w:rsidRDefault="00790301" w:rsidP="00790301">
                  <w:pPr>
                    <w:jc w:val="center"/>
                    <w:rPr>
                      <w:color w:val="auto"/>
                    </w:rPr>
                  </w:pPr>
                  <w:r w:rsidRPr="00560E66">
                    <w:rPr>
                      <w:color w:val="auto"/>
                    </w:rPr>
                    <w:t>18</w:t>
                  </w:r>
                </w:p>
              </w:tc>
              <w:tc>
                <w:tcPr>
                  <w:tcW w:w="1122" w:type="dxa"/>
                  <w:vAlign w:val="center"/>
                </w:tcPr>
                <w:p w14:paraId="23B29E64" w14:textId="77777777" w:rsidR="00790301" w:rsidRPr="00560E66" w:rsidRDefault="00790301" w:rsidP="00790301">
                  <w:pPr>
                    <w:jc w:val="center"/>
                    <w:rPr>
                      <w:color w:val="auto"/>
                    </w:rPr>
                  </w:pPr>
                  <w:r w:rsidRPr="00560E66">
                    <w:rPr>
                      <w:color w:val="auto"/>
                    </w:rPr>
                    <w:t>21</w:t>
                  </w:r>
                </w:p>
              </w:tc>
              <w:tc>
                <w:tcPr>
                  <w:tcW w:w="1122" w:type="dxa"/>
                  <w:vAlign w:val="center"/>
                </w:tcPr>
                <w:p w14:paraId="16731D4D" w14:textId="77777777" w:rsidR="00790301" w:rsidRPr="00560E66" w:rsidRDefault="00790301" w:rsidP="00790301">
                  <w:pPr>
                    <w:jc w:val="center"/>
                    <w:rPr>
                      <w:color w:val="auto"/>
                    </w:rPr>
                  </w:pPr>
                  <w:r w:rsidRPr="00560E66">
                    <w:rPr>
                      <w:color w:val="auto"/>
                    </w:rPr>
                    <w:t>46</w:t>
                  </w:r>
                </w:p>
              </w:tc>
              <w:tc>
                <w:tcPr>
                  <w:tcW w:w="1122" w:type="dxa"/>
                  <w:vAlign w:val="center"/>
                </w:tcPr>
                <w:p w14:paraId="5937C493" w14:textId="77777777" w:rsidR="00790301" w:rsidRPr="00560E66" w:rsidRDefault="00790301" w:rsidP="00790301">
                  <w:pPr>
                    <w:jc w:val="center"/>
                    <w:rPr>
                      <w:color w:val="auto"/>
                    </w:rPr>
                  </w:pPr>
                  <w:r w:rsidRPr="00560E66">
                    <w:rPr>
                      <w:color w:val="auto"/>
                    </w:rPr>
                    <w:t>36</w:t>
                  </w:r>
                </w:p>
              </w:tc>
              <w:tc>
                <w:tcPr>
                  <w:tcW w:w="1122" w:type="dxa"/>
                  <w:vAlign w:val="center"/>
                </w:tcPr>
                <w:p w14:paraId="4B7D1EAF" w14:textId="77777777" w:rsidR="00790301" w:rsidRPr="00560E66" w:rsidRDefault="00790301" w:rsidP="00790301">
                  <w:pPr>
                    <w:jc w:val="center"/>
                    <w:rPr>
                      <w:color w:val="auto"/>
                    </w:rPr>
                  </w:pPr>
                  <w:r w:rsidRPr="00560E66">
                    <w:rPr>
                      <w:color w:val="auto"/>
                    </w:rPr>
                    <w:t>43</w:t>
                  </w:r>
                </w:p>
              </w:tc>
              <w:tc>
                <w:tcPr>
                  <w:tcW w:w="1122" w:type="dxa"/>
                  <w:vAlign w:val="center"/>
                </w:tcPr>
                <w:p w14:paraId="1A0EECE7" w14:textId="77777777" w:rsidR="00790301" w:rsidRPr="00560E66" w:rsidRDefault="00790301" w:rsidP="00790301">
                  <w:pPr>
                    <w:jc w:val="center"/>
                    <w:rPr>
                      <w:color w:val="auto"/>
                    </w:rPr>
                  </w:pPr>
                  <w:r w:rsidRPr="00560E66">
                    <w:rPr>
                      <w:color w:val="auto"/>
                    </w:rPr>
                    <w:t>49</w:t>
                  </w:r>
                </w:p>
              </w:tc>
            </w:tr>
            <w:tr w:rsidR="00790301" w:rsidRPr="00560E66" w14:paraId="4C219498" w14:textId="77777777" w:rsidTr="00790301">
              <w:trPr>
                <w:cantSplit/>
                <w:trHeight w:val="274"/>
              </w:trPr>
              <w:tc>
                <w:tcPr>
                  <w:tcW w:w="1479" w:type="dxa"/>
                  <w:vMerge/>
                  <w:vAlign w:val="center"/>
                </w:tcPr>
                <w:p w14:paraId="11E08F5D" w14:textId="77777777" w:rsidR="00790301" w:rsidRPr="00560E66" w:rsidRDefault="00790301" w:rsidP="00790301">
                  <w:pPr>
                    <w:jc w:val="center"/>
                    <w:rPr>
                      <w:color w:val="auto"/>
                    </w:rPr>
                  </w:pPr>
                </w:p>
              </w:tc>
              <w:tc>
                <w:tcPr>
                  <w:tcW w:w="1545" w:type="dxa"/>
                  <w:vMerge/>
                  <w:vAlign w:val="center"/>
                </w:tcPr>
                <w:p w14:paraId="6EE898CE" w14:textId="77777777" w:rsidR="00790301" w:rsidRPr="00560E66" w:rsidRDefault="00790301" w:rsidP="00790301">
                  <w:pPr>
                    <w:jc w:val="center"/>
                    <w:rPr>
                      <w:color w:val="auto"/>
                    </w:rPr>
                  </w:pPr>
                </w:p>
              </w:tc>
              <w:tc>
                <w:tcPr>
                  <w:tcW w:w="448" w:type="dxa"/>
                  <w:vMerge/>
                  <w:textDirection w:val="tbRl"/>
                  <w:vAlign w:val="center"/>
                </w:tcPr>
                <w:p w14:paraId="6C3B159D" w14:textId="77777777" w:rsidR="00790301" w:rsidRPr="00560E66" w:rsidRDefault="00790301" w:rsidP="00790301">
                  <w:pPr>
                    <w:ind w:left="113" w:right="113"/>
                    <w:jc w:val="center"/>
                    <w:rPr>
                      <w:color w:val="auto"/>
                      <w:sz w:val="16"/>
                    </w:rPr>
                  </w:pPr>
                </w:p>
              </w:tc>
              <w:tc>
                <w:tcPr>
                  <w:tcW w:w="1122" w:type="dxa"/>
                  <w:vAlign w:val="center"/>
                </w:tcPr>
                <w:p w14:paraId="31B90EC3" w14:textId="77777777" w:rsidR="00790301" w:rsidRPr="00560E66" w:rsidRDefault="00790301" w:rsidP="00790301">
                  <w:pPr>
                    <w:jc w:val="center"/>
                    <w:rPr>
                      <w:i/>
                      <w:color w:val="FF0000"/>
                      <w:sz w:val="18"/>
                    </w:rPr>
                  </w:pPr>
                  <w:r w:rsidRPr="00560E66">
                    <w:rPr>
                      <w:i/>
                      <w:color w:val="FF0000"/>
                      <w:sz w:val="18"/>
                    </w:rPr>
                    <w:t>19</w:t>
                  </w:r>
                </w:p>
              </w:tc>
              <w:tc>
                <w:tcPr>
                  <w:tcW w:w="1122" w:type="dxa"/>
                  <w:vAlign w:val="center"/>
                </w:tcPr>
                <w:p w14:paraId="237829E1" w14:textId="77777777" w:rsidR="00790301" w:rsidRPr="00560E66" w:rsidRDefault="00790301" w:rsidP="00790301">
                  <w:pPr>
                    <w:jc w:val="center"/>
                    <w:rPr>
                      <w:i/>
                      <w:color w:val="FF0000"/>
                      <w:sz w:val="18"/>
                    </w:rPr>
                  </w:pPr>
                  <w:r w:rsidRPr="00560E66">
                    <w:rPr>
                      <w:i/>
                      <w:color w:val="FF0000"/>
                      <w:sz w:val="18"/>
                    </w:rPr>
                    <w:t>25</w:t>
                  </w:r>
                </w:p>
              </w:tc>
              <w:tc>
                <w:tcPr>
                  <w:tcW w:w="1122" w:type="dxa"/>
                  <w:vAlign w:val="center"/>
                </w:tcPr>
                <w:p w14:paraId="53EB6AD0" w14:textId="77777777" w:rsidR="00790301" w:rsidRPr="00560E66" w:rsidRDefault="00790301" w:rsidP="00790301">
                  <w:pPr>
                    <w:jc w:val="center"/>
                    <w:rPr>
                      <w:i/>
                      <w:color w:val="FF0000"/>
                      <w:sz w:val="18"/>
                    </w:rPr>
                  </w:pPr>
                  <w:r w:rsidRPr="00560E66">
                    <w:rPr>
                      <w:i/>
                      <w:color w:val="FF0000"/>
                      <w:sz w:val="18"/>
                    </w:rPr>
                    <w:t>28</w:t>
                  </w:r>
                </w:p>
              </w:tc>
              <w:tc>
                <w:tcPr>
                  <w:tcW w:w="1122" w:type="dxa"/>
                  <w:vAlign w:val="center"/>
                </w:tcPr>
                <w:p w14:paraId="096D91BF" w14:textId="77777777" w:rsidR="00790301" w:rsidRPr="00560E66" w:rsidRDefault="00790301" w:rsidP="00790301">
                  <w:pPr>
                    <w:jc w:val="center"/>
                    <w:rPr>
                      <w:i/>
                      <w:color w:val="FF0000"/>
                      <w:sz w:val="18"/>
                    </w:rPr>
                  </w:pPr>
                  <w:r w:rsidRPr="00560E66">
                    <w:rPr>
                      <w:i/>
                      <w:color w:val="FF0000"/>
                      <w:sz w:val="18"/>
                    </w:rPr>
                    <w:t>27</w:t>
                  </w:r>
                </w:p>
              </w:tc>
              <w:tc>
                <w:tcPr>
                  <w:tcW w:w="1122" w:type="dxa"/>
                  <w:shd w:val="clear" w:color="auto" w:fill="D9D9D9" w:themeFill="background1" w:themeFillShade="D9"/>
                  <w:vAlign w:val="center"/>
                </w:tcPr>
                <w:p w14:paraId="4B7CFA3E"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1498FCA9" w14:textId="77777777" w:rsidR="00790301" w:rsidRPr="00560E66" w:rsidRDefault="00790301" w:rsidP="00790301">
                  <w:pPr>
                    <w:jc w:val="center"/>
                    <w:rPr>
                      <w:i/>
                      <w:color w:val="auto"/>
                      <w:sz w:val="18"/>
                    </w:rPr>
                  </w:pPr>
                </w:p>
              </w:tc>
            </w:tr>
            <w:tr w:rsidR="00790301" w:rsidRPr="00560E66" w14:paraId="061D9E56" w14:textId="77777777" w:rsidTr="00790301">
              <w:trPr>
                <w:cantSplit/>
                <w:trHeight w:val="274"/>
              </w:trPr>
              <w:tc>
                <w:tcPr>
                  <w:tcW w:w="1479" w:type="dxa"/>
                  <w:vMerge/>
                  <w:vAlign w:val="center"/>
                </w:tcPr>
                <w:p w14:paraId="3F4E63B6" w14:textId="77777777" w:rsidR="00790301" w:rsidRPr="00560E66" w:rsidRDefault="00790301" w:rsidP="00790301">
                  <w:pPr>
                    <w:jc w:val="center"/>
                    <w:rPr>
                      <w:color w:val="auto"/>
                    </w:rPr>
                  </w:pPr>
                </w:p>
              </w:tc>
              <w:tc>
                <w:tcPr>
                  <w:tcW w:w="1545" w:type="dxa"/>
                  <w:vMerge w:val="restart"/>
                  <w:vAlign w:val="center"/>
                </w:tcPr>
                <w:p w14:paraId="3D540473" w14:textId="77777777" w:rsidR="00790301" w:rsidRPr="00560E66" w:rsidRDefault="00790301" w:rsidP="00790301">
                  <w:pPr>
                    <w:jc w:val="center"/>
                    <w:rPr>
                      <w:color w:val="auto"/>
                    </w:rPr>
                  </w:pPr>
                  <w:r w:rsidRPr="00560E66">
                    <w:rPr>
                      <w:color w:val="auto"/>
                    </w:rPr>
                    <w:t>Writing</w:t>
                  </w:r>
                </w:p>
              </w:tc>
              <w:tc>
                <w:tcPr>
                  <w:tcW w:w="448" w:type="dxa"/>
                  <w:vMerge/>
                  <w:textDirection w:val="tbRl"/>
                  <w:vAlign w:val="center"/>
                </w:tcPr>
                <w:p w14:paraId="5B3B869E" w14:textId="77777777" w:rsidR="00790301" w:rsidRPr="00560E66" w:rsidRDefault="00790301" w:rsidP="00790301">
                  <w:pPr>
                    <w:ind w:left="113" w:right="113"/>
                    <w:jc w:val="center"/>
                    <w:rPr>
                      <w:color w:val="auto"/>
                      <w:sz w:val="16"/>
                    </w:rPr>
                  </w:pPr>
                </w:p>
              </w:tc>
              <w:tc>
                <w:tcPr>
                  <w:tcW w:w="1122" w:type="dxa"/>
                  <w:vAlign w:val="center"/>
                </w:tcPr>
                <w:p w14:paraId="15A8493F" w14:textId="77777777" w:rsidR="00790301" w:rsidRPr="00560E66" w:rsidRDefault="00790301" w:rsidP="00790301">
                  <w:pPr>
                    <w:jc w:val="center"/>
                    <w:rPr>
                      <w:color w:val="auto"/>
                    </w:rPr>
                  </w:pPr>
                  <w:r w:rsidRPr="00560E66">
                    <w:rPr>
                      <w:color w:val="auto"/>
                    </w:rPr>
                    <w:t>61</w:t>
                  </w:r>
                </w:p>
              </w:tc>
              <w:tc>
                <w:tcPr>
                  <w:tcW w:w="1122" w:type="dxa"/>
                  <w:vAlign w:val="center"/>
                </w:tcPr>
                <w:p w14:paraId="740EB44D" w14:textId="77777777" w:rsidR="00790301" w:rsidRPr="00560E66" w:rsidRDefault="00790301" w:rsidP="00790301">
                  <w:pPr>
                    <w:jc w:val="center"/>
                    <w:rPr>
                      <w:color w:val="auto"/>
                    </w:rPr>
                  </w:pPr>
                  <w:r w:rsidRPr="00560E66">
                    <w:rPr>
                      <w:color w:val="auto"/>
                    </w:rPr>
                    <w:t>27</w:t>
                  </w:r>
                </w:p>
              </w:tc>
              <w:tc>
                <w:tcPr>
                  <w:tcW w:w="1122" w:type="dxa"/>
                  <w:vAlign w:val="center"/>
                </w:tcPr>
                <w:p w14:paraId="7327D393" w14:textId="77777777" w:rsidR="00790301" w:rsidRPr="00560E66" w:rsidRDefault="00790301" w:rsidP="00790301">
                  <w:pPr>
                    <w:jc w:val="center"/>
                    <w:rPr>
                      <w:color w:val="auto"/>
                    </w:rPr>
                  </w:pPr>
                  <w:r w:rsidRPr="00560E66">
                    <w:rPr>
                      <w:color w:val="auto"/>
                    </w:rPr>
                    <w:t>26</w:t>
                  </w:r>
                </w:p>
              </w:tc>
              <w:tc>
                <w:tcPr>
                  <w:tcW w:w="1122" w:type="dxa"/>
                  <w:vAlign w:val="center"/>
                </w:tcPr>
                <w:p w14:paraId="59EC93EE" w14:textId="77777777" w:rsidR="00790301" w:rsidRPr="00560E66" w:rsidRDefault="00790301" w:rsidP="00790301">
                  <w:pPr>
                    <w:jc w:val="center"/>
                    <w:rPr>
                      <w:color w:val="auto"/>
                    </w:rPr>
                  </w:pPr>
                  <w:r w:rsidRPr="00560E66">
                    <w:rPr>
                      <w:color w:val="auto"/>
                    </w:rPr>
                    <w:t>33</w:t>
                  </w:r>
                </w:p>
              </w:tc>
              <w:tc>
                <w:tcPr>
                  <w:tcW w:w="1122" w:type="dxa"/>
                  <w:vAlign w:val="center"/>
                </w:tcPr>
                <w:p w14:paraId="63F3F018" w14:textId="77777777" w:rsidR="00790301" w:rsidRPr="00560E66" w:rsidRDefault="00790301" w:rsidP="00790301">
                  <w:pPr>
                    <w:jc w:val="center"/>
                    <w:rPr>
                      <w:color w:val="auto"/>
                    </w:rPr>
                  </w:pPr>
                  <w:r w:rsidRPr="00560E66">
                    <w:rPr>
                      <w:color w:val="auto"/>
                    </w:rPr>
                    <w:t>31</w:t>
                  </w:r>
                </w:p>
              </w:tc>
              <w:tc>
                <w:tcPr>
                  <w:tcW w:w="1122" w:type="dxa"/>
                  <w:vAlign w:val="center"/>
                </w:tcPr>
                <w:p w14:paraId="204EB25F" w14:textId="77777777" w:rsidR="00790301" w:rsidRPr="00560E66" w:rsidRDefault="00790301" w:rsidP="00790301">
                  <w:pPr>
                    <w:jc w:val="center"/>
                    <w:rPr>
                      <w:color w:val="auto"/>
                    </w:rPr>
                  </w:pPr>
                  <w:r w:rsidRPr="00560E66">
                    <w:rPr>
                      <w:color w:val="auto"/>
                    </w:rPr>
                    <w:t>25</w:t>
                  </w:r>
                </w:p>
              </w:tc>
            </w:tr>
            <w:tr w:rsidR="00790301" w:rsidRPr="00560E66" w14:paraId="22CCDC0B" w14:textId="77777777" w:rsidTr="00790301">
              <w:trPr>
                <w:cantSplit/>
                <w:trHeight w:val="274"/>
              </w:trPr>
              <w:tc>
                <w:tcPr>
                  <w:tcW w:w="1479" w:type="dxa"/>
                  <w:vMerge/>
                  <w:vAlign w:val="center"/>
                </w:tcPr>
                <w:p w14:paraId="39500915" w14:textId="77777777" w:rsidR="00790301" w:rsidRPr="00560E66" w:rsidRDefault="00790301" w:rsidP="00790301">
                  <w:pPr>
                    <w:jc w:val="center"/>
                    <w:rPr>
                      <w:color w:val="auto"/>
                    </w:rPr>
                  </w:pPr>
                </w:p>
              </w:tc>
              <w:tc>
                <w:tcPr>
                  <w:tcW w:w="1545" w:type="dxa"/>
                  <w:vMerge/>
                  <w:vAlign w:val="center"/>
                </w:tcPr>
                <w:p w14:paraId="4E793B2D" w14:textId="77777777" w:rsidR="00790301" w:rsidRPr="00560E66" w:rsidRDefault="00790301" w:rsidP="00790301">
                  <w:pPr>
                    <w:jc w:val="center"/>
                    <w:rPr>
                      <w:color w:val="auto"/>
                    </w:rPr>
                  </w:pPr>
                </w:p>
              </w:tc>
              <w:tc>
                <w:tcPr>
                  <w:tcW w:w="448" w:type="dxa"/>
                  <w:vMerge/>
                  <w:textDirection w:val="tbRl"/>
                  <w:vAlign w:val="center"/>
                </w:tcPr>
                <w:p w14:paraId="1BE0114E" w14:textId="77777777" w:rsidR="00790301" w:rsidRPr="00560E66" w:rsidRDefault="00790301" w:rsidP="00790301">
                  <w:pPr>
                    <w:ind w:left="113" w:right="113"/>
                    <w:jc w:val="center"/>
                    <w:rPr>
                      <w:color w:val="auto"/>
                      <w:sz w:val="16"/>
                    </w:rPr>
                  </w:pPr>
                </w:p>
              </w:tc>
              <w:tc>
                <w:tcPr>
                  <w:tcW w:w="1122" w:type="dxa"/>
                  <w:vAlign w:val="center"/>
                </w:tcPr>
                <w:p w14:paraId="7E049CA6" w14:textId="77777777" w:rsidR="00790301" w:rsidRPr="00560E66" w:rsidRDefault="00790301" w:rsidP="00790301">
                  <w:pPr>
                    <w:jc w:val="center"/>
                    <w:rPr>
                      <w:i/>
                      <w:color w:val="FF0000"/>
                      <w:sz w:val="18"/>
                    </w:rPr>
                  </w:pPr>
                  <w:r w:rsidRPr="00560E66">
                    <w:rPr>
                      <w:i/>
                      <w:color w:val="FF0000"/>
                      <w:sz w:val="18"/>
                    </w:rPr>
                    <w:t>15</w:t>
                  </w:r>
                </w:p>
              </w:tc>
              <w:tc>
                <w:tcPr>
                  <w:tcW w:w="1122" w:type="dxa"/>
                  <w:vAlign w:val="center"/>
                </w:tcPr>
                <w:p w14:paraId="11FA78CE" w14:textId="77777777" w:rsidR="00790301" w:rsidRPr="00560E66" w:rsidRDefault="00790301" w:rsidP="00790301">
                  <w:pPr>
                    <w:jc w:val="center"/>
                    <w:rPr>
                      <w:i/>
                      <w:color w:val="FF0000"/>
                      <w:sz w:val="18"/>
                    </w:rPr>
                  </w:pPr>
                  <w:r w:rsidRPr="00560E66">
                    <w:rPr>
                      <w:i/>
                      <w:color w:val="FF0000"/>
                      <w:sz w:val="18"/>
                    </w:rPr>
                    <w:t>18</w:t>
                  </w:r>
                </w:p>
              </w:tc>
              <w:tc>
                <w:tcPr>
                  <w:tcW w:w="1122" w:type="dxa"/>
                  <w:vAlign w:val="center"/>
                </w:tcPr>
                <w:p w14:paraId="50F92AE9" w14:textId="77777777" w:rsidR="00790301" w:rsidRPr="00560E66" w:rsidRDefault="00790301" w:rsidP="00790301">
                  <w:pPr>
                    <w:jc w:val="center"/>
                    <w:rPr>
                      <w:i/>
                      <w:color w:val="FF0000"/>
                      <w:sz w:val="18"/>
                    </w:rPr>
                  </w:pPr>
                  <w:r w:rsidRPr="00560E66">
                    <w:rPr>
                      <w:i/>
                      <w:color w:val="FF0000"/>
                      <w:sz w:val="18"/>
                    </w:rPr>
                    <w:t>20</w:t>
                  </w:r>
                </w:p>
              </w:tc>
              <w:tc>
                <w:tcPr>
                  <w:tcW w:w="1122" w:type="dxa"/>
                  <w:vAlign w:val="center"/>
                </w:tcPr>
                <w:p w14:paraId="01F00FB4" w14:textId="77777777" w:rsidR="00790301" w:rsidRPr="00560E66" w:rsidRDefault="00790301" w:rsidP="00790301">
                  <w:pPr>
                    <w:jc w:val="center"/>
                    <w:rPr>
                      <w:i/>
                      <w:color w:val="FF0000"/>
                      <w:sz w:val="18"/>
                    </w:rPr>
                  </w:pPr>
                  <w:r w:rsidRPr="00560E66">
                    <w:rPr>
                      <w:i/>
                      <w:color w:val="FF0000"/>
                      <w:sz w:val="18"/>
                    </w:rPr>
                    <w:t>20</w:t>
                  </w:r>
                </w:p>
              </w:tc>
              <w:tc>
                <w:tcPr>
                  <w:tcW w:w="1122" w:type="dxa"/>
                  <w:shd w:val="clear" w:color="auto" w:fill="D9D9D9" w:themeFill="background1" w:themeFillShade="D9"/>
                  <w:vAlign w:val="center"/>
                </w:tcPr>
                <w:p w14:paraId="719724CF"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4E6C10C9" w14:textId="77777777" w:rsidR="00790301" w:rsidRPr="00560E66" w:rsidRDefault="00790301" w:rsidP="00790301">
                  <w:pPr>
                    <w:jc w:val="center"/>
                    <w:rPr>
                      <w:i/>
                      <w:color w:val="auto"/>
                      <w:sz w:val="18"/>
                    </w:rPr>
                  </w:pPr>
                </w:p>
              </w:tc>
            </w:tr>
            <w:tr w:rsidR="00790301" w:rsidRPr="00560E66" w14:paraId="3F4382CB" w14:textId="77777777" w:rsidTr="00790301">
              <w:trPr>
                <w:cantSplit/>
                <w:trHeight w:val="274"/>
              </w:trPr>
              <w:tc>
                <w:tcPr>
                  <w:tcW w:w="1479" w:type="dxa"/>
                  <w:vMerge/>
                  <w:vAlign w:val="center"/>
                </w:tcPr>
                <w:p w14:paraId="2822507D" w14:textId="77777777" w:rsidR="00790301" w:rsidRPr="00560E66" w:rsidRDefault="00790301" w:rsidP="00790301">
                  <w:pPr>
                    <w:jc w:val="center"/>
                    <w:rPr>
                      <w:color w:val="auto"/>
                    </w:rPr>
                  </w:pPr>
                </w:p>
              </w:tc>
              <w:tc>
                <w:tcPr>
                  <w:tcW w:w="1545" w:type="dxa"/>
                  <w:vMerge w:val="restart"/>
                  <w:vAlign w:val="center"/>
                </w:tcPr>
                <w:p w14:paraId="4776919E" w14:textId="77777777" w:rsidR="00790301" w:rsidRPr="00560E66" w:rsidRDefault="00790301" w:rsidP="00790301">
                  <w:pPr>
                    <w:jc w:val="center"/>
                    <w:rPr>
                      <w:color w:val="auto"/>
                    </w:rPr>
                  </w:pPr>
                  <w:proofErr w:type="spellStart"/>
                  <w:r w:rsidRPr="00560E66">
                    <w:rPr>
                      <w:color w:val="auto"/>
                    </w:rPr>
                    <w:t>Maths</w:t>
                  </w:r>
                  <w:proofErr w:type="spellEnd"/>
                </w:p>
              </w:tc>
              <w:tc>
                <w:tcPr>
                  <w:tcW w:w="448" w:type="dxa"/>
                  <w:vMerge/>
                  <w:textDirection w:val="tbRl"/>
                  <w:vAlign w:val="center"/>
                </w:tcPr>
                <w:p w14:paraId="2ABD3BCF" w14:textId="77777777" w:rsidR="00790301" w:rsidRPr="00560E66" w:rsidRDefault="00790301" w:rsidP="00790301">
                  <w:pPr>
                    <w:ind w:left="113" w:right="113"/>
                    <w:jc w:val="center"/>
                    <w:rPr>
                      <w:color w:val="auto"/>
                      <w:sz w:val="16"/>
                    </w:rPr>
                  </w:pPr>
                </w:p>
              </w:tc>
              <w:tc>
                <w:tcPr>
                  <w:tcW w:w="1122" w:type="dxa"/>
                  <w:vAlign w:val="center"/>
                </w:tcPr>
                <w:p w14:paraId="38AC2CC5" w14:textId="77777777" w:rsidR="00790301" w:rsidRPr="00560E66" w:rsidRDefault="00790301" w:rsidP="00790301">
                  <w:pPr>
                    <w:jc w:val="center"/>
                    <w:rPr>
                      <w:color w:val="auto"/>
                    </w:rPr>
                  </w:pPr>
                  <w:r w:rsidRPr="00560E66">
                    <w:rPr>
                      <w:color w:val="auto"/>
                    </w:rPr>
                    <w:t>31</w:t>
                  </w:r>
                </w:p>
              </w:tc>
              <w:tc>
                <w:tcPr>
                  <w:tcW w:w="1122" w:type="dxa"/>
                  <w:vAlign w:val="center"/>
                </w:tcPr>
                <w:p w14:paraId="403E60BA" w14:textId="77777777" w:rsidR="00790301" w:rsidRPr="00560E66" w:rsidRDefault="00790301" w:rsidP="00790301">
                  <w:pPr>
                    <w:jc w:val="center"/>
                    <w:rPr>
                      <w:color w:val="auto"/>
                    </w:rPr>
                  </w:pPr>
                  <w:r w:rsidRPr="00560E66">
                    <w:rPr>
                      <w:color w:val="auto"/>
                    </w:rPr>
                    <w:t>43</w:t>
                  </w:r>
                </w:p>
              </w:tc>
              <w:tc>
                <w:tcPr>
                  <w:tcW w:w="1122" w:type="dxa"/>
                  <w:vAlign w:val="center"/>
                </w:tcPr>
                <w:p w14:paraId="34118D46" w14:textId="77777777" w:rsidR="00790301" w:rsidRPr="00560E66" w:rsidRDefault="00790301" w:rsidP="00790301">
                  <w:pPr>
                    <w:jc w:val="center"/>
                    <w:rPr>
                      <w:color w:val="auto"/>
                    </w:rPr>
                  </w:pPr>
                  <w:r w:rsidRPr="00560E66">
                    <w:rPr>
                      <w:color w:val="auto"/>
                    </w:rPr>
                    <w:t>39</w:t>
                  </w:r>
                </w:p>
              </w:tc>
              <w:tc>
                <w:tcPr>
                  <w:tcW w:w="1122" w:type="dxa"/>
                  <w:vAlign w:val="center"/>
                </w:tcPr>
                <w:p w14:paraId="206577C5" w14:textId="77777777" w:rsidR="00790301" w:rsidRPr="00560E66" w:rsidRDefault="00790301" w:rsidP="00790301">
                  <w:pPr>
                    <w:jc w:val="center"/>
                    <w:rPr>
                      <w:color w:val="auto"/>
                    </w:rPr>
                  </w:pPr>
                  <w:r w:rsidRPr="00560E66">
                    <w:rPr>
                      <w:color w:val="auto"/>
                    </w:rPr>
                    <w:t>48</w:t>
                  </w:r>
                </w:p>
              </w:tc>
              <w:tc>
                <w:tcPr>
                  <w:tcW w:w="1122" w:type="dxa"/>
                  <w:vAlign w:val="center"/>
                </w:tcPr>
                <w:p w14:paraId="6FB08306" w14:textId="77777777" w:rsidR="00790301" w:rsidRPr="00560E66" w:rsidRDefault="00790301" w:rsidP="00790301">
                  <w:pPr>
                    <w:jc w:val="center"/>
                    <w:rPr>
                      <w:color w:val="auto"/>
                    </w:rPr>
                  </w:pPr>
                  <w:r w:rsidRPr="00560E66">
                    <w:rPr>
                      <w:color w:val="auto"/>
                    </w:rPr>
                    <w:t>52</w:t>
                  </w:r>
                </w:p>
              </w:tc>
              <w:tc>
                <w:tcPr>
                  <w:tcW w:w="1122" w:type="dxa"/>
                  <w:vAlign w:val="center"/>
                </w:tcPr>
                <w:p w14:paraId="619F81CD" w14:textId="77777777" w:rsidR="00790301" w:rsidRPr="00560E66" w:rsidRDefault="00790301" w:rsidP="00790301">
                  <w:pPr>
                    <w:jc w:val="center"/>
                    <w:rPr>
                      <w:color w:val="auto"/>
                    </w:rPr>
                  </w:pPr>
                  <w:r w:rsidRPr="00560E66">
                    <w:rPr>
                      <w:color w:val="auto"/>
                    </w:rPr>
                    <w:t>28</w:t>
                  </w:r>
                </w:p>
              </w:tc>
            </w:tr>
            <w:tr w:rsidR="00790301" w:rsidRPr="00560E66" w14:paraId="6CE79872" w14:textId="77777777" w:rsidTr="00790301">
              <w:trPr>
                <w:cantSplit/>
                <w:trHeight w:val="274"/>
              </w:trPr>
              <w:tc>
                <w:tcPr>
                  <w:tcW w:w="1479" w:type="dxa"/>
                  <w:vMerge/>
                  <w:vAlign w:val="center"/>
                </w:tcPr>
                <w:p w14:paraId="1BFD801D" w14:textId="77777777" w:rsidR="00790301" w:rsidRPr="00560E66" w:rsidRDefault="00790301" w:rsidP="00790301">
                  <w:pPr>
                    <w:jc w:val="center"/>
                    <w:rPr>
                      <w:color w:val="auto"/>
                    </w:rPr>
                  </w:pPr>
                </w:p>
              </w:tc>
              <w:tc>
                <w:tcPr>
                  <w:tcW w:w="1545" w:type="dxa"/>
                  <w:vMerge/>
                  <w:vAlign w:val="center"/>
                </w:tcPr>
                <w:p w14:paraId="67288E42" w14:textId="77777777" w:rsidR="00790301" w:rsidRPr="00560E66" w:rsidRDefault="00790301" w:rsidP="00790301">
                  <w:pPr>
                    <w:jc w:val="center"/>
                    <w:rPr>
                      <w:color w:val="auto"/>
                    </w:rPr>
                  </w:pPr>
                </w:p>
              </w:tc>
              <w:tc>
                <w:tcPr>
                  <w:tcW w:w="448" w:type="dxa"/>
                  <w:vMerge/>
                  <w:textDirection w:val="tbRl"/>
                  <w:vAlign w:val="center"/>
                </w:tcPr>
                <w:p w14:paraId="19E65CE2" w14:textId="77777777" w:rsidR="00790301" w:rsidRPr="00560E66" w:rsidRDefault="00790301" w:rsidP="00790301">
                  <w:pPr>
                    <w:ind w:left="113" w:right="113"/>
                    <w:jc w:val="center"/>
                    <w:rPr>
                      <w:color w:val="auto"/>
                      <w:sz w:val="16"/>
                    </w:rPr>
                  </w:pPr>
                </w:p>
              </w:tc>
              <w:tc>
                <w:tcPr>
                  <w:tcW w:w="1122" w:type="dxa"/>
                  <w:vAlign w:val="center"/>
                </w:tcPr>
                <w:p w14:paraId="35861AF3" w14:textId="77777777" w:rsidR="00790301" w:rsidRPr="00560E66" w:rsidRDefault="00790301" w:rsidP="00790301">
                  <w:pPr>
                    <w:jc w:val="center"/>
                    <w:rPr>
                      <w:i/>
                      <w:color w:val="FF0000"/>
                      <w:sz w:val="18"/>
                    </w:rPr>
                  </w:pPr>
                  <w:r w:rsidRPr="00560E66">
                    <w:rPr>
                      <w:i/>
                      <w:color w:val="FF0000"/>
                      <w:sz w:val="18"/>
                    </w:rPr>
                    <w:t>17</w:t>
                  </w:r>
                </w:p>
              </w:tc>
              <w:tc>
                <w:tcPr>
                  <w:tcW w:w="1122" w:type="dxa"/>
                  <w:vAlign w:val="center"/>
                </w:tcPr>
                <w:p w14:paraId="74C4B5BD" w14:textId="77777777" w:rsidR="00790301" w:rsidRPr="00560E66" w:rsidRDefault="00790301" w:rsidP="00790301">
                  <w:pPr>
                    <w:jc w:val="center"/>
                    <w:rPr>
                      <w:i/>
                      <w:color w:val="FF0000"/>
                      <w:sz w:val="18"/>
                    </w:rPr>
                  </w:pPr>
                  <w:r w:rsidRPr="00560E66">
                    <w:rPr>
                      <w:i/>
                      <w:color w:val="FF0000"/>
                      <w:sz w:val="18"/>
                    </w:rPr>
                    <w:t>23</w:t>
                  </w:r>
                </w:p>
              </w:tc>
              <w:tc>
                <w:tcPr>
                  <w:tcW w:w="1122" w:type="dxa"/>
                  <w:vAlign w:val="center"/>
                </w:tcPr>
                <w:p w14:paraId="397D0F38" w14:textId="77777777" w:rsidR="00790301" w:rsidRPr="00560E66" w:rsidRDefault="00790301" w:rsidP="00790301">
                  <w:pPr>
                    <w:jc w:val="center"/>
                    <w:rPr>
                      <w:i/>
                      <w:color w:val="FF0000"/>
                      <w:sz w:val="18"/>
                    </w:rPr>
                  </w:pPr>
                  <w:r w:rsidRPr="00560E66">
                    <w:rPr>
                      <w:i/>
                      <w:color w:val="FF0000"/>
                      <w:sz w:val="18"/>
                    </w:rPr>
                    <w:t>34</w:t>
                  </w:r>
                </w:p>
              </w:tc>
              <w:tc>
                <w:tcPr>
                  <w:tcW w:w="1122" w:type="dxa"/>
                  <w:vAlign w:val="center"/>
                </w:tcPr>
                <w:p w14:paraId="0DBD9F0E" w14:textId="77777777" w:rsidR="00790301" w:rsidRPr="00560E66" w:rsidRDefault="00790301" w:rsidP="00790301">
                  <w:pPr>
                    <w:jc w:val="center"/>
                    <w:rPr>
                      <w:i/>
                      <w:color w:val="FF0000"/>
                      <w:sz w:val="18"/>
                    </w:rPr>
                  </w:pPr>
                  <w:r w:rsidRPr="00560E66">
                    <w:rPr>
                      <w:i/>
                      <w:color w:val="FF0000"/>
                      <w:sz w:val="18"/>
                    </w:rPr>
                    <w:t>27</w:t>
                  </w:r>
                </w:p>
              </w:tc>
              <w:tc>
                <w:tcPr>
                  <w:tcW w:w="1122" w:type="dxa"/>
                  <w:shd w:val="clear" w:color="auto" w:fill="D9D9D9" w:themeFill="background1" w:themeFillShade="D9"/>
                  <w:vAlign w:val="center"/>
                </w:tcPr>
                <w:p w14:paraId="3E8B890B"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0A15443D" w14:textId="77777777" w:rsidR="00790301" w:rsidRPr="00560E66" w:rsidRDefault="00790301" w:rsidP="00790301">
                  <w:pPr>
                    <w:jc w:val="center"/>
                    <w:rPr>
                      <w:i/>
                      <w:color w:val="auto"/>
                      <w:sz w:val="18"/>
                    </w:rPr>
                  </w:pPr>
                </w:p>
              </w:tc>
            </w:tr>
            <w:tr w:rsidR="00790301" w:rsidRPr="00560E66" w14:paraId="0698A38B" w14:textId="77777777" w:rsidTr="00790301">
              <w:trPr>
                <w:cantSplit/>
                <w:trHeight w:val="274"/>
              </w:trPr>
              <w:tc>
                <w:tcPr>
                  <w:tcW w:w="1479" w:type="dxa"/>
                  <w:vMerge/>
                  <w:vAlign w:val="center"/>
                </w:tcPr>
                <w:p w14:paraId="0BD047C7" w14:textId="77777777" w:rsidR="00790301" w:rsidRPr="00560E66" w:rsidRDefault="00790301" w:rsidP="00790301">
                  <w:pPr>
                    <w:jc w:val="center"/>
                    <w:rPr>
                      <w:color w:val="auto"/>
                    </w:rPr>
                  </w:pPr>
                </w:p>
              </w:tc>
              <w:tc>
                <w:tcPr>
                  <w:tcW w:w="1545" w:type="dxa"/>
                  <w:vMerge w:val="restart"/>
                  <w:vAlign w:val="center"/>
                </w:tcPr>
                <w:p w14:paraId="505E423B" w14:textId="77777777" w:rsidR="00790301" w:rsidRPr="00560E66" w:rsidRDefault="00790301" w:rsidP="00790301">
                  <w:pPr>
                    <w:jc w:val="center"/>
                    <w:rPr>
                      <w:color w:val="auto"/>
                    </w:rPr>
                  </w:pPr>
                  <w:r w:rsidRPr="00560E66">
                    <w:rPr>
                      <w:color w:val="auto"/>
                    </w:rPr>
                    <w:t>SPAG</w:t>
                  </w:r>
                </w:p>
              </w:tc>
              <w:tc>
                <w:tcPr>
                  <w:tcW w:w="448" w:type="dxa"/>
                  <w:vMerge/>
                  <w:textDirection w:val="tbRl"/>
                  <w:vAlign w:val="center"/>
                </w:tcPr>
                <w:p w14:paraId="4B1FC054" w14:textId="77777777" w:rsidR="00790301" w:rsidRPr="00560E66" w:rsidRDefault="00790301" w:rsidP="00790301">
                  <w:pPr>
                    <w:ind w:left="113" w:right="113"/>
                    <w:jc w:val="center"/>
                    <w:rPr>
                      <w:color w:val="auto"/>
                      <w:sz w:val="16"/>
                    </w:rPr>
                  </w:pPr>
                </w:p>
              </w:tc>
              <w:tc>
                <w:tcPr>
                  <w:tcW w:w="1122" w:type="dxa"/>
                  <w:vAlign w:val="center"/>
                </w:tcPr>
                <w:p w14:paraId="1C2229C3" w14:textId="77777777" w:rsidR="00790301" w:rsidRPr="00560E66" w:rsidRDefault="00790301" w:rsidP="00790301">
                  <w:pPr>
                    <w:jc w:val="center"/>
                    <w:rPr>
                      <w:color w:val="auto"/>
                    </w:rPr>
                  </w:pPr>
                  <w:r w:rsidRPr="00560E66">
                    <w:rPr>
                      <w:color w:val="auto"/>
                    </w:rPr>
                    <w:t>45</w:t>
                  </w:r>
                </w:p>
              </w:tc>
              <w:tc>
                <w:tcPr>
                  <w:tcW w:w="1122" w:type="dxa"/>
                  <w:vAlign w:val="center"/>
                </w:tcPr>
                <w:p w14:paraId="65A8F01C" w14:textId="77777777" w:rsidR="00790301" w:rsidRPr="00560E66" w:rsidRDefault="00790301" w:rsidP="00790301">
                  <w:pPr>
                    <w:jc w:val="center"/>
                    <w:rPr>
                      <w:color w:val="auto"/>
                    </w:rPr>
                  </w:pPr>
                  <w:r w:rsidRPr="00560E66">
                    <w:rPr>
                      <w:color w:val="auto"/>
                    </w:rPr>
                    <w:t>55</w:t>
                  </w:r>
                </w:p>
              </w:tc>
              <w:tc>
                <w:tcPr>
                  <w:tcW w:w="1122" w:type="dxa"/>
                  <w:vAlign w:val="center"/>
                </w:tcPr>
                <w:p w14:paraId="1D104CF2" w14:textId="77777777" w:rsidR="00790301" w:rsidRPr="00560E66" w:rsidRDefault="00790301" w:rsidP="00790301">
                  <w:pPr>
                    <w:jc w:val="center"/>
                    <w:rPr>
                      <w:color w:val="auto"/>
                    </w:rPr>
                  </w:pPr>
                  <w:r w:rsidRPr="00560E66">
                    <w:rPr>
                      <w:color w:val="auto"/>
                    </w:rPr>
                    <w:t>61</w:t>
                  </w:r>
                </w:p>
              </w:tc>
              <w:tc>
                <w:tcPr>
                  <w:tcW w:w="1122" w:type="dxa"/>
                  <w:vAlign w:val="center"/>
                </w:tcPr>
                <w:p w14:paraId="1564B389" w14:textId="77777777" w:rsidR="00790301" w:rsidRPr="00560E66" w:rsidRDefault="00790301" w:rsidP="00790301">
                  <w:pPr>
                    <w:jc w:val="center"/>
                    <w:rPr>
                      <w:color w:val="auto"/>
                    </w:rPr>
                  </w:pPr>
                  <w:r w:rsidRPr="00560E66">
                    <w:rPr>
                      <w:color w:val="auto"/>
                    </w:rPr>
                    <w:t>80</w:t>
                  </w:r>
                </w:p>
              </w:tc>
              <w:tc>
                <w:tcPr>
                  <w:tcW w:w="1122" w:type="dxa"/>
                  <w:vAlign w:val="center"/>
                </w:tcPr>
                <w:p w14:paraId="53485D85" w14:textId="77777777" w:rsidR="00790301" w:rsidRPr="00560E66" w:rsidRDefault="00790301" w:rsidP="00790301">
                  <w:pPr>
                    <w:jc w:val="center"/>
                    <w:rPr>
                      <w:color w:val="auto"/>
                    </w:rPr>
                  </w:pPr>
                  <w:r w:rsidRPr="00560E66">
                    <w:rPr>
                      <w:color w:val="auto"/>
                    </w:rPr>
                    <w:t>31</w:t>
                  </w:r>
                </w:p>
              </w:tc>
              <w:tc>
                <w:tcPr>
                  <w:tcW w:w="1122" w:type="dxa"/>
                  <w:vAlign w:val="center"/>
                </w:tcPr>
                <w:p w14:paraId="1A388D7D" w14:textId="77777777" w:rsidR="00790301" w:rsidRPr="00560E66" w:rsidRDefault="00790301" w:rsidP="00790301">
                  <w:pPr>
                    <w:jc w:val="center"/>
                    <w:rPr>
                      <w:color w:val="auto"/>
                    </w:rPr>
                  </w:pPr>
                  <w:r w:rsidRPr="00560E66">
                    <w:rPr>
                      <w:color w:val="auto"/>
                    </w:rPr>
                    <w:t>62</w:t>
                  </w:r>
                </w:p>
              </w:tc>
            </w:tr>
            <w:tr w:rsidR="00790301" w:rsidRPr="00560E66" w14:paraId="3E314319" w14:textId="77777777" w:rsidTr="00790301">
              <w:trPr>
                <w:cantSplit/>
                <w:trHeight w:val="274"/>
              </w:trPr>
              <w:tc>
                <w:tcPr>
                  <w:tcW w:w="1479" w:type="dxa"/>
                  <w:vMerge/>
                  <w:vAlign w:val="center"/>
                </w:tcPr>
                <w:p w14:paraId="28C6C8A4" w14:textId="77777777" w:rsidR="00790301" w:rsidRPr="00560E66" w:rsidRDefault="00790301" w:rsidP="00790301">
                  <w:pPr>
                    <w:jc w:val="center"/>
                    <w:rPr>
                      <w:color w:val="auto"/>
                    </w:rPr>
                  </w:pPr>
                </w:p>
              </w:tc>
              <w:tc>
                <w:tcPr>
                  <w:tcW w:w="1545" w:type="dxa"/>
                  <w:vMerge/>
                  <w:vAlign w:val="center"/>
                </w:tcPr>
                <w:p w14:paraId="6D0BF772" w14:textId="77777777" w:rsidR="00790301" w:rsidRPr="00560E66" w:rsidRDefault="00790301" w:rsidP="00790301">
                  <w:pPr>
                    <w:jc w:val="center"/>
                    <w:rPr>
                      <w:color w:val="auto"/>
                    </w:rPr>
                  </w:pPr>
                </w:p>
              </w:tc>
              <w:tc>
                <w:tcPr>
                  <w:tcW w:w="448" w:type="dxa"/>
                  <w:vMerge/>
                  <w:textDirection w:val="tbRl"/>
                  <w:vAlign w:val="center"/>
                </w:tcPr>
                <w:p w14:paraId="7F20AF45" w14:textId="77777777" w:rsidR="00790301" w:rsidRPr="00560E66" w:rsidRDefault="00790301" w:rsidP="00790301">
                  <w:pPr>
                    <w:ind w:left="113" w:right="113"/>
                    <w:jc w:val="center"/>
                    <w:rPr>
                      <w:color w:val="auto"/>
                      <w:sz w:val="16"/>
                    </w:rPr>
                  </w:pPr>
                </w:p>
              </w:tc>
              <w:tc>
                <w:tcPr>
                  <w:tcW w:w="1122" w:type="dxa"/>
                  <w:vAlign w:val="center"/>
                </w:tcPr>
                <w:p w14:paraId="23F0E8C6" w14:textId="77777777" w:rsidR="00790301" w:rsidRPr="00560E66" w:rsidRDefault="00790301" w:rsidP="00790301">
                  <w:pPr>
                    <w:jc w:val="center"/>
                    <w:rPr>
                      <w:i/>
                      <w:color w:val="FF0000"/>
                      <w:sz w:val="18"/>
                    </w:rPr>
                  </w:pPr>
                  <w:r w:rsidRPr="00560E66">
                    <w:rPr>
                      <w:i/>
                      <w:color w:val="FF0000"/>
                      <w:sz w:val="18"/>
                    </w:rPr>
                    <w:t>23</w:t>
                  </w:r>
                </w:p>
              </w:tc>
              <w:tc>
                <w:tcPr>
                  <w:tcW w:w="1122" w:type="dxa"/>
                  <w:vAlign w:val="center"/>
                </w:tcPr>
                <w:p w14:paraId="6C1EAD66" w14:textId="77777777" w:rsidR="00790301" w:rsidRPr="00560E66" w:rsidRDefault="00790301" w:rsidP="00790301">
                  <w:pPr>
                    <w:jc w:val="center"/>
                    <w:rPr>
                      <w:i/>
                      <w:color w:val="FF0000"/>
                      <w:sz w:val="18"/>
                    </w:rPr>
                  </w:pPr>
                  <w:r w:rsidRPr="00560E66">
                    <w:rPr>
                      <w:i/>
                      <w:color w:val="FF0000"/>
                      <w:sz w:val="18"/>
                    </w:rPr>
                    <w:t>31</w:t>
                  </w:r>
                </w:p>
              </w:tc>
              <w:tc>
                <w:tcPr>
                  <w:tcW w:w="1122" w:type="dxa"/>
                  <w:vAlign w:val="center"/>
                </w:tcPr>
                <w:p w14:paraId="6FEF081B" w14:textId="77777777" w:rsidR="00790301" w:rsidRPr="00560E66" w:rsidRDefault="00790301" w:rsidP="00790301">
                  <w:pPr>
                    <w:jc w:val="center"/>
                    <w:rPr>
                      <w:i/>
                      <w:color w:val="FF0000"/>
                      <w:sz w:val="18"/>
                    </w:rPr>
                  </w:pPr>
                  <w:r w:rsidRPr="00560E66">
                    <w:rPr>
                      <w:i/>
                      <w:color w:val="FF0000"/>
                      <w:sz w:val="18"/>
                    </w:rPr>
                    <w:t>24</w:t>
                  </w:r>
                </w:p>
              </w:tc>
              <w:tc>
                <w:tcPr>
                  <w:tcW w:w="1122" w:type="dxa"/>
                  <w:vAlign w:val="center"/>
                </w:tcPr>
                <w:p w14:paraId="4016DCEF" w14:textId="77777777" w:rsidR="00790301" w:rsidRPr="00560E66" w:rsidRDefault="00790301" w:rsidP="00790301">
                  <w:pPr>
                    <w:jc w:val="center"/>
                    <w:rPr>
                      <w:i/>
                      <w:color w:val="FF0000"/>
                      <w:sz w:val="18"/>
                    </w:rPr>
                  </w:pPr>
                  <w:r w:rsidRPr="00560E66">
                    <w:rPr>
                      <w:i/>
                      <w:color w:val="FF0000"/>
                      <w:sz w:val="18"/>
                    </w:rPr>
                    <w:t>36</w:t>
                  </w:r>
                </w:p>
              </w:tc>
              <w:tc>
                <w:tcPr>
                  <w:tcW w:w="1122" w:type="dxa"/>
                  <w:shd w:val="clear" w:color="auto" w:fill="D9D9D9" w:themeFill="background1" w:themeFillShade="D9"/>
                  <w:vAlign w:val="center"/>
                </w:tcPr>
                <w:p w14:paraId="482690AB"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0A88D3C8" w14:textId="77777777" w:rsidR="00790301" w:rsidRPr="00560E66" w:rsidRDefault="00790301" w:rsidP="00790301">
                  <w:pPr>
                    <w:jc w:val="center"/>
                    <w:rPr>
                      <w:i/>
                      <w:color w:val="auto"/>
                      <w:sz w:val="18"/>
                    </w:rPr>
                  </w:pPr>
                </w:p>
              </w:tc>
            </w:tr>
            <w:tr w:rsidR="00790301" w:rsidRPr="00560E66" w14:paraId="1E341BC7" w14:textId="77777777" w:rsidTr="00790301">
              <w:trPr>
                <w:cantSplit/>
                <w:trHeight w:val="274"/>
              </w:trPr>
              <w:tc>
                <w:tcPr>
                  <w:tcW w:w="1479" w:type="dxa"/>
                  <w:vMerge w:val="restart"/>
                  <w:vAlign w:val="center"/>
                </w:tcPr>
                <w:p w14:paraId="02E7ECB4" w14:textId="77777777" w:rsidR="00790301" w:rsidRPr="00560E66" w:rsidRDefault="00790301" w:rsidP="00790301">
                  <w:pPr>
                    <w:jc w:val="center"/>
                    <w:rPr>
                      <w:color w:val="auto"/>
                    </w:rPr>
                  </w:pPr>
                  <w:r w:rsidRPr="00560E66">
                    <w:rPr>
                      <w:color w:val="auto"/>
                    </w:rPr>
                    <w:t>Year 2</w:t>
                  </w:r>
                </w:p>
              </w:tc>
              <w:tc>
                <w:tcPr>
                  <w:tcW w:w="1545" w:type="dxa"/>
                  <w:vMerge w:val="restart"/>
                  <w:vAlign w:val="center"/>
                </w:tcPr>
                <w:p w14:paraId="167067F8" w14:textId="77777777" w:rsidR="00790301" w:rsidRPr="00560E66" w:rsidRDefault="00790301" w:rsidP="00790301">
                  <w:pPr>
                    <w:jc w:val="center"/>
                    <w:rPr>
                      <w:color w:val="auto"/>
                    </w:rPr>
                  </w:pPr>
                  <w:r w:rsidRPr="00560E66">
                    <w:rPr>
                      <w:color w:val="auto"/>
                    </w:rPr>
                    <w:t>Reading</w:t>
                  </w:r>
                </w:p>
              </w:tc>
              <w:tc>
                <w:tcPr>
                  <w:tcW w:w="448" w:type="dxa"/>
                  <w:vMerge w:val="restart"/>
                  <w:textDirection w:val="tbRl"/>
                  <w:vAlign w:val="center"/>
                </w:tcPr>
                <w:p w14:paraId="71515FDF" w14:textId="77777777" w:rsidR="00790301" w:rsidRPr="00560E66" w:rsidRDefault="00790301" w:rsidP="00790301">
                  <w:pPr>
                    <w:ind w:left="113" w:right="113"/>
                    <w:jc w:val="center"/>
                    <w:rPr>
                      <w:color w:val="auto"/>
                      <w:sz w:val="16"/>
                    </w:rPr>
                  </w:pPr>
                  <w:r w:rsidRPr="00560E66">
                    <w:rPr>
                      <w:color w:val="auto"/>
                      <w:sz w:val="16"/>
                    </w:rPr>
                    <w:t>Expected Standard</w:t>
                  </w:r>
                </w:p>
              </w:tc>
              <w:tc>
                <w:tcPr>
                  <w:tcW w:w="1122" w:type="dxa"/>
                  <w:vAlign w:val="center"/>
                </w:tcPr>
                <w:p w14:paraId="59D7E97E" w14:textId="77777777" w:rsidR="00790301" w:rsidRPr="00560E66" w:rsidRDefault="00790301" w:rsidP="00790301">
                  <w:pPr>
                    <w:jc w:val="center"/>
                    <w:rPr>
                      <w:color w:val="auto"/>
                    </w:rPr>
                  </w:pPr>
                  <w:r w:rsidRPr="00560E66">
                    <w:rPr>
                      <w:color w:val="auto"/>
                    </w:rPr>
                    <w:t>79</w:t>
                  </w:r>
                </w:p>
              </w:tc>
              <w:tc>
                <w:tcPr>
                  <w:tcW w:w="1122" w:type="dxa"/>
                  <w:vAlign w:val="center"/>
                </w:tcPr>
                <w:p w14:paraId="4B256DCD" w14:textId="77777777" w:rsidR="00790301" w:rsidRPr="00560E66" w:rsidRDefault="00790301" w:rsidP="00790301">
                  <w:pPr>
                    <w:jc w:val="center"/>
                    <w:rPr>
                      <w:color w:val="auto"/>
                    </w:rPr>
                  </w:pPr>
                  <w:r w:rsidRPr="00560E66">
                    <w:rPr>
                      <w:color w:val="auto"/>
                    </w:rPr>
                    <w:t>86</w:t>
                  </w:r>
                </w:p>
              </w:tc>
              <w:tc>
                <w:tcPr>
                  <w:tcW w:w="1122" w:type="dxa"/>
                  <w:vAlign w:val="center"/>
                </w:tcPr>
                <w:p w14:paraId="75F221F1" w14:textId="77777777" w:rsidR="00790301" w:rsidRPr="00560E66" w:rsidRDefault="00790301" w:rsidP="00790301">
                  <w:pPr>
                    <w:jc w:val="center"/>
                    <w:rPr>
                      <w:color w:val="auto"/>
                    </w:rPr>
                  </w:pPr>
                  <w:r w:rsidRPr="00560E66">
                    <w:rPr>
                      <w:color w:val="auto"/>
                    </w:rPr>
                    <w:t>82</w:t>
                  </w:r>
                </w:p>
              </w:tc>
              <w:tc>
                <w:tcPr>
                  <w:tcW w:w="1122" w:type="dxa"/>
                  <w:vAlign w:val="center"/>
                </w:tcPr>
                <w:p w14:paraId="650D1DE6" w14:textId="77777777" w:rsidR="00790301" w:rsidRPr="00560E66" w:rsidRDefault="00790301" w:rsidP="00790301">
                  <w:pPr>
                    <w:jc w:val="center"/>
                    <w:rPr>
                      <w:color w:val="auto"/>
                    </w:rPr>
                  </w:pPr>
                  <w:r w:rsidRPr="00560E66">
                    <w:rPr>
                      <w:color w:val="auto"/>
                    </w:rPr>
                    <w:t>76</w:t>
                  </w:r>
                </w:p>
              </w:tc>
              <w:tc>
                <w:tcPr>
                  <w:tcW w:w="1122" w:type="dxa"/>
                  <w:vAlign w:val="center"/>
                </w:tcPr>
                <w:p w14:paraId="4340EA6E" w14:textId="77777777" w:rsidR="00790301" w:rsidRPr="00560E66" w:rsidRDefault="00790301" w:rsidP="00790301">
                  <w:pPr>
                    <w:jc w:val="center"/>
                    <w:rPr>
                      <w:color w:val="auto"/>
                    </w:rPr>
                  </w:pPr>
                  <w:r w:rsidRPr="00560E66">
                    <w:rPr>
                      <w:color w:val="auto"/>
                    </w:rPr>
                    <w:t>81</w:t>
                  </w:r>
                </w:p>
              </w:tc>
              <w:tc>
                <w:tcPr>
                  <w:tcW w:w="1122" w:type="dxa"/>
                  <w:vAlign w:val="center"/>
                </w:tcPr>
                <w:p w14:paraId="2C6E4AB0" w14:textId="77777777" w:rsidR="00790301" w:rsidRPr="00560E66" w:rsidRDefault="00790301" w:rsidP="00790301">
                  <w:pPr>
                    <w:jc w:val="center"/>
                    <w:rPr>
                      <w:color w:val="auto"/>
                    </w:rPr>
                  </w:pPr>
                  <w:r w:rsidRPr="00560E66">
                    <w:rPr>
                      <w:color w:val="auto"/>
                    </w:rPr>
                    <w:t>74</w:t>
                  </w:r>
                </w:p>
              </w:tc>
            </w:tr>
            <w:tr w:rsidR="00790301" w:rsidRPr="00560E66" w14:paraId="2A57FF77" w14:textId="77777777" w:rsidTr="00790301">
              <w:trPr>
                <w:cantSplit/>
                <w:trHeight w:val="274"/>
              </w:trPr>
              <w:tc>
                <w:tcPr>
                  <w:tcW w:w="1479" w:type="dxa"/>
                  <w:vMerge/>
                  <w:vAlign w:val="center"/>
                </w:tcPr>
                <w:p w14:paraId="501A72F7" w14:textId="77777777" w:rsidR="00790301" w:rsidRPr="00560E66" w:rsidRDefault="00790301" w:rsidP="00790301">
                  <w:pPr>
                    <w:jc w:val="center"/>
                    <w:rPr>
                      <w:color w:val="auto"/>
                    </w:rPr>
                  </w:pPr>
                </w:p>
              </w:tc>
              <w:tc>
                <w:tcPr>
                  <w:tcW w:w="1545" w:type="dxa"/>
                  <w:vMerge/>
                  <w:vAlign w:val="center"/>
                </w:tcPr>
                <w:p w14:paraId="21B9471F" w14:textId="77777777" w:rsidR="00790301" w:rsidRPr="00560E66" w:rsidRDefault="00790301" w:rsidP="00790301">
                  <w:pPr>
                    <w:jc w:val="center"/>
                    <w:rPr>
                      <w:color w:val="auto"/>
                    </w:rPr>
                  </w:pPr>
                </w:p>
              </w:tc>
              <w:tc>
                <w:tcPr>
                  <w:tcW w:w="448" w:type="dxa"/>
                  <w:vMerge/>
                  <w:textDirection w:val="tbRl"/>
                  <w:vAlign w:val="center"/>
                </w:tcPr>
                <w:p w14:paraId="5BEA3E7C" w14:textId="77777777" w:rsidR="00790301" w:rsidRPr="00560E66" w:rsidRDefault="00790301" w:rsidP="00790301">
                  <w:pPr>
                    <w:ind w:left="113" w:right="113"/>
                    <w:jc w:val="center"/>
                    <w:rPr>
                      <w:color w:val="auto"/>
                      <w:sz w:val="16"/>
                    </w:rPr>
                  </w:pPr>
                </w:p>
              </w:tc>
              <w:tc>
                <w:tcPr>
                  <w:tcW w:w="1122" w:type="dxa"/>
                  <w:vAlign w:val="center"/>
                </w:tcPr>
                <w:p w14:paraId="446C0D2A" w14:textId="77777777" w:rsidR="00790301" w:rsidRPr="00560E66" w:rsidRDefault="00790301" w:rsidP="00790301">
                  <w:pPr>
                    <w:jc w:val="center"/>
                    <w:rPr>
                      <w:i/>
                      <w:color w:val="FF0000"/>
                      <w:sz w:val="18"/>
                    </w:rPr>
                  </w:pPr>
                  <w:r w:rsidRPr="00560E66">
                    <w:rPr>
                      <w:i/>
                      <w:color w:val="FF0000"/>
                      <w:sz w:val="18"/>
                    </w:rPr>
                    <w:t>74</w:t>
                  </w:r>
                </w:p>
              </w:tc>
              <w:tc>
                <w:tcPr>
                  <w:tcW w:w="1122" w:type="dxa"/>
                  <w:vAlign w:val="center"/>
                </w:tcPr>
                <w:p w14:paraId="0041D03D" w14:textId="77777777" w:rsidR="00790301" w:rsidRPr="00560E66" w:rsidRDefault="00790301" w:rsidP="00790301">
                  <w:pPr>
                    <w:jc w:val="center"/>
                    <w:rPr>
                      <w:i/>
                      <w:color w:val="FF0000"/>
                      <w:sz w:val="18"/>
                    </w:rPr>
                  </w:pPr>
                  <w:r w:rsidRPr="00560E66">
                    <w:rPr>
                      <w:i/>
                      <w:color w:val="FF0000"/>
                      <w:sz w:val="18"/>
                    </w:rPr>
                    <w:t>76</w:t>
                  </w:r>
                </w:p>
              </w:tc>
              <w:tc>
                <w:tcPr>
                  <w:tcW w:w="1122" w:type="dxa"/>
                  <w:vAlign w:val="center"/>
                </w:tcPr>
                <w:p w14:paraId="77DE6EAD" w14:textId="77777777" w:rsidR="00790301" w:rsidRPr="00560E66" w:rsidRDefault="00790301" w:rsidP="00790301">
                  <w:pPr>
                    <w:jc w:val="center"/>
                    <w:rPr>
                      <w:i/>
                      <w:color w:val="FF0000"/>
                      <w:sz w:val="18"/>
                    </w:rPr>
                  </w:pPr>
                  <w:r w:rsidRPr="00560E66">
                    <w:rPr>
                      <w:i/>
                      <w:color w:val="FF0000"/>
                      <w:sz w:val="18"/>
                    </w:rPr>
                    <w:t>75</w:t>
                  </w:r>
                </w:p>
              </w:tc>
              <w:tc>
                <w:tcPr>
                  <w:tcW w:w="1122" w:type="dxa"/>
                  <w:vAlign w:val="center"/>
                </w:tcPr>
                <w:p w14:paraId="2B48DDBC" w14:textId="77777777" w:rsidR="00790301" w:rsidRPr="00560E66" w:rsidRDefault="00790301" w:rsidP="00790301">
                  <w:pPr>
                    <w:jc w:val="center"/>
                    <w:rPr>
                      <w:i/>
                      <w:color w:val="FF0000"/>
                      <w:sz w:val="18"/>
                    </w:rPr>
                  </w:pPr>
                  <w:r w:rsidRPr="00560E66">
                    <w:rPr>
                      <w:i/>
                      <w:color w:val="FF0000"/>
                      <w:sz w:val="18"/>
                    </w:rPr>
                    <w:t>75</w:t>
                  </w:r>
                </w:p>
              </w:tc>
              <w:tc>
                <w:tcPr>
                  <w:tcW w:w="1122" w:type="dxa"/>
                  <w:shd w:val="clear" w:color="auto" w:fill="D9D9D9" w:themeFill="background1" w:themeFillShade="D9"/>
                  <w:vAlign w:val="center"/>
                </w:tcPr>
                <w:p w14:paraId="256F32F7"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3602F404" w14:textId="77777777" w:rsidR="00790301" w:rsidRPr="00560E66" w:rsidRDefault="00790301" w:rsidP="00790301">
                  <w:pPr>
                    <w:jc w:val="center"/>
                    <w:rPr>
                      <w:i/>
                      <w:color w:val="auto"/>
                      <w:sz w:val="18"/>
                    </w:rPr>
                  </w:pPr>
                </w:p>
              </w:tc>
            </w:tr>
            <w:tr w:rsidR="00790301" w:rsidRPr="00560E66" w14:paraId="1C0E8891" w14:textId="77777777" w:rsidTr="00790301">
              <w:trPr>
                <w:cantSplit/>
                <w:trHeight w:val="274"/>
              </w:trPr>
              <w:tc>
                <w:tcPr>
                  <w:tcW w:w="1479" w:type="dxa"/>
                  <w:vMerge/>
                  <w:vAlign w:val="center"/>
                </w:tcPr>
                <w:p w14:paraId="0CF0530C" w14:textId="77777777" w:rsidR="00790301" w:rsidRPr="00560E66" w:rsidRDefault="00790301" w:rsidP="00790301">
                  <w:pPr>
                    <w:jc w:val="center"/>
                    <w:rPr>
                      <w:color w:val="auto"/>
                    </w:rPr>
                  </w:pPr>
                </w:p>
              </w:tc>
              <w:tc>
                <w:tcPr>
                  <w:tcW w:w="1545" w:type="dxa"/>
                  <w:vMerge w:val="restart"/>
                  <w:vAlign w:val="center"/>
                </w:tcPr>
                <w:p w14:paraId="7AAEAC87" w14:textId="77777777" w:rsidR="00790301" w:rsidRPr="00560E66" w:rsidRDefault="00790301" w:rsidP="00790301">
                  <w:pPr>
                    <w:jc w:val="center"/>
                    <w:rPr>
                      <w:color w:val="auto"/>
                    </w:rPr>
                  </w:pPr>
                  <w:r w:rsidRPr="00560E66">
                    <w:rPr>
                      <w:color w:val="auto"/>
                    </w:rPr>
                    <w:t>Writing</w:t>
                  </w:r>
                </w:p>
              </w:tc>
              <w:tc>
                <w:tcPr>
                  <w:tcW w:w="448" w:type="dxa"/>
                  <w:vMerge/>
                  <w:textDirection w:val="tbRl"/>
                  <w:vAlign w:val="center"/>
                </w:tcPr>
                <w:p w14:paraId="1A1DA797" w14:textId="77777777" w:rsidR="00790301" w:rsidRPr="00560E66" w:rsidRDefault="00790301" w:rsidP="00790301">
                  <w:pPr>
                    <w:ind w:left="113" w:right="113"/>
                    <w:jc w:val="center"/>
                    <w:rPr>
                      <w:color w:val="auto"/>
                      <w:sz w:val="16"/>
                    </w:rPr>
                  </w:pPr>
                </w:p>
              </w:tc>
              <w:tc>
                <w:tcPr>
                  <w:tcW w:w="1122" w:type="dxa"/>
                  <w:vAlign w:val="center"/>
                </w:tcPr>
                <w:p w14:paraId="7EB2F8BC" w14:textId="77777777" w:rsidR="00790301" w:rsidRPr="00560E66" w:rsidRDefault="00790301" w:rsidP="00790301">
                  <w:pPr>
                    <w:jc w:val="center"/>
                    <w:rPr>
                      <w:color w:val="auto"/>
                    </w:rPr>
                  </w:pPr>
                  <w:r w:rsidRPr="00560E66">
                    <w:rPr>
                      <w:color w:val="auto"/>
                    </w:rPr>
                    <w:t>83</w:t>
                  </w:r>
                </w:p>
              </w:tc>
              <w:tc>
                <w:tcPr>
                  <w:tcW w:w="1122" w:type="dxa"/>
                  <w:vAlign w:val="center"/>
                </w:tcPr>
                <w:p w14:paraId="32FD3CEF" w14:textId="77777777" w:rsidR="00790301" w:rsidRPr="00560E66" w:rsidRDefault="00790301" w:rsidP="00790301">
                  <w:pPr>
                    <w:jc w:val="center"/>
                    <w:rPr>
                      <w:color w:val="auto"/>
                    </w:rPr>
                  </w:pPr>
                  <w:r w:rsidRPr="00560E66">
                    <w:rPr>
                      <w:color w:val="auto"/>
                    </w:rPr>
                    <w:t>79</w:t>
                  </w:r>
                </w:p>
              </w:tc>
              <w:tc>
                <w:tcPr>
                  <w:tcW w:w="1122" w:type="dxa"/>
                  <w:vAlign w:val="center"/>
                </w:tcPr>
                <w:p w14:paraId="38176162" w14:textId="77777777" w:rsidR="00790301" w:rsidRPr="00560E66" w:rsidRDefault="00790301" w:rsidP="00790301">
                  <w:pPr>
                    <w:jc w:val="center"/>
                    <w:rPr>
                      <w:color w:val="auto"/>
                    </w:rPr>
                  </w:pPr>
                  <w:r w:rsidRPr="00560E66">
                    <w:rPr>
                      <w:color w:val="auto"/>
                    </w:rPr>
                    <w:t>77</w:t>
                  </w:r>
                </w:p>
              </w:tc>
              <w:tc>
                <w:tcPr>
                  <w:tcW w:w="1122" w:type="dxa"/>
                  <w:vAlign w:val="center"/>
                </w:tcPr>
                <w:p w14:paraId="73FFCE28" w14:textId="77777777" w:rsidR="00790301" w:rsidRPr="00560E66" w:rsidRDefault="00790301" w:rsidP="00790301">
                  <w:pPr>
                    <w:jc w:val="center"/>
                    <w:rPr>
                      <w:color w:val="auto"/>
                    </w:rPr>
                  </w:pPr>
                  <w:r w:rsidRPr="00560E66">
                    <w:rPr>
                      <w:color w:val="auto"/>
                    </w:rPr>
                    <w:t>79</w:t>
                  </w:r>
                </w:p>
              </w:tc>
              <w:tc>
                <w:tcPr>
                  <w:tcW w:w="1122" w:type="dxa"/>
                  <w:vAlign w:val="center"/>
                </w:tcPr>
                <w:p w14:paraId="3794C167" w14:textId="77777777" w:rsidR="00790301" w:rsidRPr="00560E66" w:rsidRDefault="00790301" w:rsidP="00790301">
                  <w:pPr>
                    <w:jc w:val="center"/>
                    <w:rPr>
                      <w:color w:val="auto"/>
                    </w:rPr>
                  </w:pPr>
                  <w:r w:rsidRPr="00560E66">
                    <w:rPr>
                      <w:color w:val="auto"/>
                    </w:rPr>
                    <w:t>80</w:t>
                  </w:r>
                </w:p>
              </w:tc>
              <w:tc>
                <w:tcPr>
                  <w:tcW w:w="1122" w:type="dxa"/>
                  <w:vAlign w:val="center"/>
                </w:tcPr>
                <w:p w14:paraId="60CC6368" w14:textId="77777777" w:rsidR="00790301" w:rsidRPr="00560E66" w:rsidRDefault="00790301" w:rsidP="00790301">
                  <w:pPr>
                    <w:jc w:val="center"/>
                    <w:rPr>
                      <w:color w:val="auto"/>
                    </w:rPr>
                  </w:pPr>
                  <w:r w:rsidRPr="00560E66">
                    <w:rPr>
                      <w:color w:val="auto"/>
                    </w:rPr>
                    <w:t>59</w:t>
                  </w:r>
                </w:p>
              </w:tc>
            </w:tr>
            <w:tr w:rsidR="00790301" w:rsidRPr="00560E66" w14:paraId="34F1D549" w14:textId="77777777" w:rsidTr="00790301">
              <w:trPr>
                <w:cantSplit/>
                <w:trHeight w:val="274"/>
              </w:trPr>
              <w:tc>
                <w:tcPr>
                  <w:tcW w:w="1479" w:type="dxa"/>
                  <w:vMerge/>
                  <w:vAlign w:val="center"/>
                </w:tcPr>
                <w:p w14:paraId="7499D8D9" w14:textId="77777777" w:rsidR="00790301" w:rsidRPr="00560E66" w:rsidRDefault="00790301" w:rsidP="00790301">
                  <w:pPr>
                    <w:jc w:val="center"/>
                    <w:rPr>
                      <w:color w:val="auto"/>
                    </w:rPr>
                  </w:pPr>
                </w:p>
              </w:tc>
              <w:tc>
                <w:tcPr>
                  <w:tcW w:w="1545" w:type="dxa"/>
                  <w:vMerge/>
                  <w:vAlign w:val="center"/>
                </w:tcPr>
                <w:p w14:paraId="4D20E32F" w14:textId="77777777" w:rsidR="00790301" w:rsidRPr="00560E66" w:rsidRDefault="00790301" w:rsidP="00790301">
                  <w:pPr>
                    <w:jc w:val="center"/>
                    <w:rPr>
                      <w:color w:val="auto"/>
                    </w:rPr>
                  </w:pPr>
                </w:p>
              </w:tc>
              <w:tc>
                <w:tcPr>
                  <w:tcW w:w="448" w:type="dxa"/>
                  <w:vMerge/>
                  <w:textDirection w:val="tbRl"/>
                  <w:vAlign w:val="center"/>
                </w:tcPr>
                <w:p w14:paraId="01B860B6" w14:textId="77777777" w:rsidR="00790301" w:rsidRPr="00560E66" w:rsidRDefault="00790301" w:rsidP="00790301">
                  <w:pPr>
                    <w:ind w:left="113" w:right="113"/>
                    <w:jc w:val="center"/>
                    <w:rPr>
                      <w:color w:val="auto"/>
                      <w:sz w:val="16"/>
                    </w:rPr>
                  </w:pPr>
                </w:p>
              </w:tc>
              <w:tc>
                <w:tcPr>
                  <w:tcW w:w="1122" w:type="dxa"/>
                  <w:vAlign w:val="center"/>
                </w:tcPr>
                <w:p w14:paraId="1962E968" w14:textId="77777777" w:rsidR="00790301" w:rsidRPr="00560E66" w:rsidRDefault="00790301" w:rsidP="00790301">
                  <w:pPr>
                    <w:jc w:val="center"/>
                    <w:rPr>
                      <w:i/>
                      <w:color w:val="FF0000"/>
                      <w:sz w:val="18"/>
                    </w:rPr>
                  </w:pPr>
                  <w:r w:rsidRPr="00560E66">
                    <w:rPr>
                      <w:i/>
                      <w:color w:val="FF0000"/>
                      <w:sz w:val="18"/>
                    </w:rPr>
                    <w:t>65</w:t>
                  </w:r>
                </w:p>
              </w:tc>
              <w:tc>
                <w:tcPr>
                  <w:tcW w:w="1122" w:type="dxa"/>
                  <w:vAlign w:val="center"/>
                </w:tcPr>
                <w:p w14:paraId="02A0F29C" w14:textId="77777777" w:rsidR="00790301" w:rsidRPr="00560E66" w:rsidRDefault="00790301" w:rsidP="00790301">
                  <w:pPr>
                    <w:jc w:val="center"/>
                    <w:rPr>
                      <w:i/>
                      <w:color w:val="FF0000"/>
                      <w:sz w:val="18"/>
                    </w:rPr>
                  </w:pPr>
                  <w:r w:rsidRPr="00560E66">
                    <w:rPr>
                      <w:i/>
                      <w:color w:val="FF0000"/>
                      <w:sz w:val="18"/>
                    </w:rPr>
                    <w:t>68</w:t>
                  </w:r>
                </w:p>
              </w:tc>
              <w:tc>
                <w:tcPr>
                  <w:tcW w:w="1122" w:type="dxa"/>
                  <w:vAlign w:val="center"/>
                </w:tcPr>
                <w:p w14:paraId="7387FB26" w14:textId="77777777" w:rsidR="00790301" w:rsidRPr="00560E66" w:rsidRDefault="00790301" w:rsidP="00790301">
                  <w:pPr>
                    <w:jc w:val="center"/>
                    <w:rPr>
                      <w:i/>
                      <w:color w:val="FF0000"/>
                      <w:sz w:val="18"/>
                    </w:rPr>
                  </w:pPr>
                  <w:r w:rsidRPr="00560E66">
                    <w:rPr>
                      <w:i/>
                      <w:color w:val="FF0000"/>
                      <w:sz w:val="18"/>
                    </w:rPr>
                    <w:t>70</w:t>
                  </w:r>
                </w:p>
              </w:tc>
              <w:tc>
                <w:tcPr>
                  <w:tcW w:w="1122" w:type="dxa"/>
                  <w:vAlign w:val="center"/>
                </w:tcPr>
                <w:p w14:paraId="42BACEA7" w14:textId="77777777" w:rsidR="00790301" w:rsidRPr="00560E66" w:rsidRDefault="00790301" w:rsidP="00790301">
                  <w:pPr>
                    <w:jc w:val="center"/>
                    <w:rPr>
                      <w:i/>
                      <w:color w:val="FF0000"/>
                      <w:sz w:val="18"/>
                    </w:rPr>
                  </w:pPr>
                  <w:r w:rsidRPr="00560E66">
                    <w:rPr>
                      <w:i/>
                      <w:color w:val="FF0000"/>
                      <w:sz w:val="18"/>
                    </w:rPr>
                    <w:t>69</w:t>
                  </w:r>
                </w:p>
              </w:tc>
              <w:tc>
                <w:tcPr>
                  <w:tcW w:w="1122" w:type="dxa"/>
                  <w:shd w:val="clear" w:color="auto" w:fill="D9D9D9" w:themeFill="background1" w:themeFillShade="D9"/>
                  <w:vAlign w:val="center"/>
                </w:tcPr>
                <w:p w14:paraId="1396B22A"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173DB267" w14:textId="77777777" w:rsidR="00790301" w:rsidRPr="00560E66" w:rsidRDefault="00790301" w:rsidP="00790301">
                  <w:pPr>
                    <w:jc w:val="center"/>
                    <w:rPr>
                      <w:i/>
                      <w:color w:val="auto"/>
                      <w:sz w:val="18"/>
                    </w:rPr>
                  </w:pPr>
                </w:p>
              </w:tc>
            </w:tr>
            <w:tr w:rsidR="00790301" w:rsidRPr="00560E66" w14:paraId="6D5EE0BA" w14:textId="77777777" w:rsidTr="00790301">
              <w:trPr>
                <w:cantSplit/>
                <w:trHeight w:val="274"/>
              </w:trPr>
              <w:tc>
                <w:tcPr>
                  <w:tcW w:w="1479" w:type="dxa"/>
                  <w:vMerge/>
                  <w:vAlign w:val="center"/>
                </w:tcPr>
                <w:p w14:paraId="3C903061" w14:textId="77777777" w:rsidR="00790301" w:rsidRPr="00560E66" w:rsidRDefault="00790301" w:rsidP="00790301">
                  <w:pPr>
                    <w:jc w:val="center"/>
                    <w:rPr>
                      <w:color w:val="auto"/>
                    </w:rPr>
                  </w:pPr>
                </w:p>
              </w:tc>
              <w:tc>
                <w:tcPr>
                  <w:tcW w:w="1545" w:type="dxa"/>
                  <w:vMerge w:val="restart"/>
                  <w:vAlign w:val="center"/>
                </w:tcPr>
                <w:p w14:paraId="029CD16F" w14:textId="77777777" w:rsidR="00790301" w:rsidRPr="00560E66" w:rsidRDefault="00790301" w:rsidP="00790301">
                  <w:pPr>
                    <w:jc w:val="center"/>
                    <w:rPr>
                      <w:color w:val="auto"/>
                    </w:rPr>
                  </w:pPr>
                  <w:proofErr w:type="spellStart"/>
                  <w:r w:rsidRPr="00560E66">
                    <w:rPr>
                      <w:color w:val="auto"/>
                    </w:rPr>
                    <w:t>Maths</w:t>
                  </w:r>
                  <w:proofErr w:type="spellEnd"/>
                </w:p>
              </w:tc>
              <w:tc>
                <w:tcPr>
                  <w:tcW w:w="448" w:type="dxa"/>
                  <w:vMerge/>
                  <w:textDirection w:val="tbRl"/>
                  <w:vAlign w:val="center"/>
                </w:tcPr>
                <w:p w14:paraId="551B3AC8" w14:textId="77777777" w:rsidR="00790301" w:rsidRPr="00560E66" w:rsidRDefault="00790301" w:rsidP="00790301">
                  <w:pPr>
                    <w:ind w:left="113" w:right="113"/>
                    <w:jc w:val="center"/>
                    <w:rPr>
                      <w:color w:val="auto"/>
                      <w:sz w:val="16"/>
                    </w:rPr>
                  </w:pPr>
                </w:p>
              </w:tc>
              <w:tc>
                <w:tcPr>
                  <w:tcW w:w="1122" w:type="dxa"/>
                  <w:vAlign w:val="center"/>
                </w:tcPr>
                <w:p w14:paraId="10AAF1FD" w14:textId="77777777" w:rsidR="00790301" w:rsidRPr="00560E66" w:rsidRDefault="00790301" w:rsidP="00790301">
                  <w:pPr>
                    <w:jc w:val="center"/>
                    <w:rPr>
                      <w:color w:val="auto"/>
                    </w:rPr>
                  </w:pPr>
                  <w:r w:rsidRPr="00560E66">
                    <w:rPr>
                      <w:color w:val="auto"/>
                    </w:rPr>
                    <w:t>84</w:t>
                  </w:r>
                </w:p>
              </w:tc>
              <w:tc>
                <w:tcPr>
                  <w:tcW w:w="1122" w:type="dxa"/>
                  <w:vAlign w:val="center"/>
                </w:tcPr>
                <w:p w14:paraId="09122D89" w14:textId="77777777" w:rsidR="00790301" w:rsidRPr="00560E66" w:rsidRDefault="00790301" w:rsidP="00790301">
                  <w:pPr>
                    <w:jc w:val="center"/>
                    <w:rPr>
                      <w:color w:val="auto"/>
                    </w:rPr>
                  </w:pPr>
                  <w:r w:rsidRPr="00560E66">
                    <w:rPr>
                      <w:color w:val="auto"/>
                    </w:rPr>
                    <w:t>86</w:t>
                  </w:r>
                </w:p>
              </w:tc>
              <w:tc>
                <w:tcPr>
                  <w:tcW w:w="1122" w:type="dxa"/>
                  <w:vAlign w:val="center"/>
                </w:tcPr>
                <w:p w14:paraId="1969A435" w14:textId="77777777" w:rsidR="00790301" w:rsidRPr="00560E66" w:rsidRDefault="00790301" w:rsidP="00790301">
                  <w:pPr>
                    <w:jc w:val="center"/>
                    <w:rPr>
                      <w:color w:val="auto"/>
                    </w:rPr>
                  </w:pPr>
                  <w:r w:rsidRPr="00560E66">
                    <w:rPr>
                      <w:color w:val="auto"/>
                    </w:rPr>
                    <w:t>82</w:t>
                  </w:r>
                </w:p>
              </w:tc>
              <w:tc>
                <w:tcPr>
                  <w:tcW w:w="1122" w:type="dxa"/>
                  <w:vAlign w:val="center"/>
                </w:tcPr>
                <w:p w14:paraId="04CD4B04" w14:textId="77777777" w:rsidR="00790301" w:rsidRPr="00560E66" w:rsidRDefault="00790301" w:rsidP="00790301">
                  <w:pPr>
                    <w:jc w:val="center"/>
                    <w:rPr>
                      <w:color w:val="auto"/>
                    </w:rPr>
                  </w:pPr>
                  <w:r w:rsidRPr="00560E66">
                    <w:rPr>
                      <w:color w:val="auto"/>
                    </w:rPr>
                    <w:t>86</w:t>
                  </w:r>
                </w:p>
              </w:tc>
              <w:tc>
                <w:tcPr>
                  <w:tcW w:w="1122" w:type="dxa"/>
                  <w:vAlign w:val="center"/>
                </w:tcPr>
                <w:p w14:paraId="52C3900D" w14:textId="77777777" w:rsidR="00790301" w:rsidRPr="00560E66" w:rsidRDefault="00790301" w:rsidP="00790301">
                  <w:pPr>
                    <w:jc w:val="center"/>
                    <w:rPr>
                      <w:color w:val="auto"/>
                    </w:rPr>
                  </w:pPr>
                  <w:r w:rsidRPr="00560E66">
                    <w:rPr>
                      <w:color w:val="auto"/>
                    </w:rPr>
                    <w:t>89</w:t>
                  </w:r>
                </w:p>
              </w:tc>
              <w:tc>
                <w:tcPr>
                  <w:tcW w:w="1122" w:type="dxa"/>
                  <w:vAlign w:val="center"/>
                </w:tcPr>
                <w:p w14:paraId="337A1405" w14:textId="77777777" w:rsidR="00790301" w:rsidRPr="00560E66" w:rsidRDefault="00790301" w:rsidP="00790301">
                  <w:pPr>
                    <w:jc w:val="center"/>
                    <w:rPr>
                      <w:color w:val="auto"/>
                    </w:rPr>
                  </w:pPr>
                  <w:r w:rsidRPr="00560E66">
                    <w:rPr>
                      <w:color w:val="auto"/>
                    </w:rPr>
                    <w:t>66</w:t>
                  </w:r>
                </w:p>
              </w:tc>
            </w:tr>
            <w:tr w:rsidR="00790301" w:rsidRPr="00560E66" w14:paraId="235880B8" w14:textId="77777777" w:rsidTr="00790301">
              <w:trPr>
                <w:cantSplit/>
                <w:trHeight w:val="274"/>
              </w:trPr>
              <w:tc>
                <w:tcPr>
                  <w:tcW w:w="1479" w:type="dxa"/>
                  <w:vMerge/>
                  <w:vAlign w:val="center"/>
                </w:tcPr>
                <w:p w14:paraId="6BE02266" w14:textId="77777777" w:rsidR="00790301" w:rsidRPr="00560E66" w:rsidRDefault="00790301" w:rsidP="00790301">
                  <w:pPr>
                    <w:jc w:val="center"/>
                    <w:rPr>
                      <w:color w:val="auto"/>
                    </w:rPr>
                  </w:pPr>
                </w:p>
              </w:tc>
              <w:tc>
                <w:tcPr>
                  <w:tcW w:w="1545" w:type="dxa"/>
                  <w:vMerge/>
                  <w:vAlign w:val="center"/>
                </w:tcPr>
                <w:p w14:paraId="10949360" w14:textId="77777777" w:rsidR="00790301" w:rsidRPr="00560E66" w:rsidRDefault="00790301" w:rsidP="00790301">
                  <w:pPr>
                    <w:jc w:val="center"/>
                    <w:rPr>
                      <w:color w:val="auto"/>
                    </w:rPr>
                  </w:pPr>
                </w:p>
              </w:tc>
              <w:tc>
                <w:tcPr>
                  <w:tcW w:w="448" w:type="dxa"/>
                  <w:vMerge/>
                  <w:textDirection w:val="tbRl"/>
                  <w:vAlign w:val="center"/>
                </w:tcPr>
                <w:p w14:paraId="2EE68824" w14:textId="77777777" w:rsidR="00790301" w:rsidRPr="00560E66" w:rsidRDefault="00790301" w:rsidP="00790301">
                  <w:pPr>
                    <w:ind w:left="113" w:right="113"/>
                    <w:jc w:val="center"/>
                    <w:rPr>
                      <w:color w:val="auto"/>
                      <w:sz w:val="16"/>
                    </w:rPr>
                  </w:pPr>
                </w:p>
              </w:tc>
              <w:tc>
                <w:tcPr>
                  <w:tcW w:w="1122" w:type="dxa"/>
                  <w:vAlign w:val="center"/>
                </w:tcPr>
                <w:p w14:paraId="5D01A4BE" w14:textId="77777777" w:rsidR="00790301" w:rsidRPr="00560E66" w:rsidRDefault="00790301" w:rsidP="00790301">
                  <w:pPr>
                    <w:jc w:val="center"/>
                    <w:rPr>
                      <w:i/>
                      <w:color w:val="FF0000"/>
                      <w:sz w:val="18"/>
                    </w:rPr>
                  </w:pPr>
                  <w:r w:rsidRPr="00560E66">
                    <w:rPr>
                      <w:i/>
                      <w:color w:val="FF0000"/>
                      <w:sz w:val="18"/>
                    </w:rPr>
                    <w:t>76</w:t>
                  </w:r>
                </w:p>
              </w:tc>
              <w:tc>
                <w:tcPr>
                  <w:tcW w:w="1122" w:type="dxa"/>
                  <w:vAlign w:val="center"/>
                </w:tcPr>
                <w:p w14:paraId="2319FACC" w14:textId="77777777" w:rsidR="00790301" w:rsidRPr="00560E66" w:rsidRDefault="00790301" w:rsidP="00790301">
                  <w:pPr>
                    <w:jc w:val="center"/>
                    <w:rPr>
                      <w:i/>
                      <w:color w:val="FF0000"/>
                      <w:sz w:val="18"/>
                    </w:rPr>
                  </w:pPr>
                  <w:r w:rsidRPr="00560E66">
                    <w:rPr>
                      <w:i/>
                      <w:color w:val="FF0000"/>
                      <w:sz w:val="18"/>
                    </w:rPr>
                    <w:t>75</w:t>
                  </w:r>
                </w:p>
              </w:tc>
              <w:tc>
                <w:tcPr>
                  <w:tcW w:w="1122" w:type="dxa"/>
                  <w:vAlign w:val="center"/>
                </w:tcPr>
                <w:p w14:paraId="36B71B8F" w14:textId="77777777" w:rsidR="00790301" w:rsidRPr="00560E66" w:rsidRDefault="00790301" w:rsidP="00790301">
                  <w:pPr>
                    <w:jc w:val="center"/>
                    <w:rPr>
                      <w:i/>
                      <w:color w:val="FF0000"/>
                      <w:sz w:val="18"/>
                    </w:rPr>
                  </w:pPr>
                  <w:r w:rsidRPr="00560E66">
                    <w:rPr>
                      <w:i/>
                      <w:color w:val="FF0000"/>
                      <w:sz w:val="18"/>
                    </w:rPr>
                    <w:t>75</w:t>
                  </w:r>
                </w:p>
              </w:tc>
              <w:tc>
                <w:tcPr>
                  <w:tcW w:w="1122" w:type="dxa"/>
                  <w:vAlign w:val="center"/>
                </w:tcPr>
                <w:p w14:paraId="29A90050" w14:textId="77777777" w:rsidR="00790301" w:rsidRPr="00560E66" w:rsidRDefault="00790301" w:rsidP="00790301">
                  <w:pPr>
                    <w:jc w:val="center"/>
                    <w:rPr>
                      <w:i/>
                      <w:color w:val="FF0000"/>
                      <w:sz w:val="18"/>
                    </w:rPr>
                  </w:pPr>
                  <w:r w:rsidRPr="00560E66">
                    <w:rPr>
                      <w:i/>
                      <w:color w:val="FF0000"/>
                      <w:sz w:val="18"/>
                    </w:rPr>
                    <w:t>76</w:t>
                  </w:r>
                </w:p>
              </w:tc>
              <w:tc>
                <w:tcPr>
                  <w:tcW w:w="1122" w:type="dxa"/>
                  <w:shd w:val="clear" w:color="auto" w:fill="D9D9D9" w:themeFill="background1" w:themeFillShade="D9"/>
                  <w:vAlign w:val="center"/>
                </w:tcPr>
                <w:p w14:paraId="537DBBDA"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199C7C47" w14:textId="77777777" w:rsidR="00790301" w:rsidRPr="00560E66" w:rsidRDefault="00790301" w:rsidP="00790301">
                  <w:pPr>
                    <w:jc w:val="center"/>
                    <w:rPr>
                      <w:i/>
                      <w:color w:val="auto"/>
                      <w:sz w:val="18"/>
                    </w:rPr>
                  </w:pPr>
                </w:p>
              </w:tc>
            </w:tr>
            <w:tr w:rsidR="00790301" w:rsidRPr="00560E66" w14:paraId="22336E51" w14:textId="77777777" w:rsidTr="00790301">
              <w:trPr>
                <w:cantSplit/>
                <w:trHeight w:val="274"/>
              </w:trPr>
              <w:tc>
                <w:tcPr>
                  <w:tcW w:w="1479" w:type="dxa"/>
                  <w:vMerge w:val="restart"/>
                  <w:vAlign w:val="center"/>
                </w:tcPr>
                <w:p w14:paraId="154ECCEB" w14:textId="77777777" w:rsidR="00790301" w:rsidRPr="00560E66" w:rsidRDefault="00790301" w:rsidP="00790301">
                  <w:pPr>
                    <w:jc w:val="center"/>
                    <w:rPr>
                      <w:color w:val="auto"/>
                    </w:rPr>
                  </w:pPr>
                  <w:r w:rsidRPr="00560E66">
                    <w:rPr>
                      <w:color w:val="auto"/>
                    </w:rPr>
                    <w:lastRenderedPageBreak/>
                    <w:t>Year 2</w:t>
                  </w:r>
                </w:p>
              </w:tc>
              <w:tc>
                <w:tcPr>
                  <w:tcW w:w="1545" w:type="dxa"/>
                  <w:vMerge w:val="restart"/>
                  <w:vAlign w:val="center"/>
                </w:tcPr>
                <w:p w14:paraId="0B17FE15" w14:textId="77777777" w:rsidR="00790301" w:rsidRPr="00560E66" w:rsidRDefault="00790301" w:rsidP="00790301">
                  <w:pPr>
                    <w:jc w:val="center"/>
                    <w:rPr>
                      <w:color w:val="auto"/>
                    </w:rPr>
                  </w:pPr>
                  <w:r w:rsidRPr="00560E66">
                    <w:rPr>
                      <w:color w:val="auto"/>
                    </w:rPr>
                    <w:t>Reading</w:t>
                  </w:r>
                </w:p>
              </w:tc>
              <w:tc>
                <w:tcPr>
                  <w:tcW w:w="448" w:type="dxa"/>
                  <w:vMerge w:val="restart"/>
                  <w:textDirection w:val="tbRl"/>
                  <w:vAlign w:val="center"/>
                </w:tcPr>
                <w:p w14:paraId="327B33A3" w14:textId="77777777" w:rsidR="00790301" w:rsidRPr="00560E66" w:rsidRDefault="00790301" w:rsidP="00790301">
                  <w:pPr>
                    <w:ind w:left="113" w:right="113"/>
                    <w:jc w:val="center"/>
                    <w:rPr>
                      <w:color w:val="auto"/>
                      <w:sz w:val="16"/>
                    </w:rPr>
                  </w:pPr>
                  <w:r w:rsidRPr="00560E66">
                    <w:rPr>
                      <w:color w:val="auto"/>
                      <w:sz w:val="16"/>
                    </w:rPr>
                    <w:t>Greater Depth / High Score</w:t>
                  </w:r>
                </w:p>
              </w:tc>
              <w:tc>
                <w:tcPr>
                  <w:tcW w:w="1122" w:type="dxa"/>
                  <w:vAlign w:val="center"/>
                </w:tcPr>
                <w:p w14:paraId="3B78BD0C" w14:textId="77777777" w:rsidR="00790301" w:rsidRPr="00560E66" w:rsidRDefault="00790301" w:rsidP="00790301">
                  <w:pPr>
                    <w:jc w:val="center"/>
                    <w:rPr>
                      <w:color w:val="auto"/>
                    </w:rPr>
                  </w:pPr>
                  <w:r w:rsidRPr="00560E66">
                    <w:rPr>
                      <w:color w:val="auto"/>
                    </w:rPr>
                    <w:t>36</w:t>
                  </w:r>
                </w:p>
              </w:tc>
              <w:tc>
                <w:tcPr>
                  <w:tcW w:w="1122" w:type="dxa"/>
                  <w:vAlign w:val="center"/>
                </w:tcPr>
                <w:p w14:paraId="21F93E1E" w14:textId="77777777" w:rsidR="00790301" w:rsidRPr="00560E66" w:rsidRDefault="00790301" w:rsidP="00790301">
                  <w:pPr>
                    <w:jc w:val="center"/>
                    <w:rPr>
                      <w:color w:val="auto"/>
                    </w:rPr>
                  </w:pPr>
                  <w:r w:rsidRPr="00560E66">
                    <w:rPr>
                      <w:color w:val="auto"/>
                    </w:rPr>
                    <w:t>31</w:t>
                  </w:r>
                </w:p>
              </w:tc>
              <w:tc>
                <w:tcPr>
                  <w:tcW w:w="1122" w:type="dxa"/>
                  <w:vAlign w:val="center"/>
                </w:tcPr>
                <w:p w14:paraId="71D0C6AF" w14:textId="77777777" w:rsidR="00790301" w:rsidRPr="00560E66" w:rsidRDefault="00790301" w:rsidP="00790301">
                  <w:pPr>
                    <w:jc w:val="center"/>
                    <w:rPr>
                      <w:color w:val="auto"/>
                    </w:rPr>
                  </w:pPr>
                  <w:r w:rsidRPr="00560E66">
                    <w:rPr>
                      <w:color w:val="auto"/>
                    </w:rPr>
                    <w:t>26</w:t>
                  </w:r>
                </w:p>
              </w:tc>
              <w:tc>
                <w:tcPr>
                  <w:tcW w:w="1122" w:type="dxa"/>
                  <w:vAlign w:val="center"/>
                </w:tcPr>
                <w:p w14:paraId="716313D8" w14:textId="77777777" w:rsidR="00790301" w:rsidRPr="00560E66" w:rsidRDefault="00790301" w:rsidP="00790301">
                  <w:pPr>
                    <w:jc w:val="center"/>
                    <w:rPr>
                      <w:color w:val="auto"/>
                    </w:rPr>
                  </w:pPr>
                  <w:r w:rsidRPr="00560E66">
                    <w:rPr>
                      <w:color w:val="auto"/>
                    </w:rPr>
                    <w:t>29</w:t>
                  </w:r>
                </w:p>
              </w:tc>
              <w:tc>
                <w:tcPr>
                  <w:tcW w:w="1122" w:type="dxa"/>
                  <w:vAlign w:val="center"/>
                </w:tcPr>
                <w:p w14:paraId="00FD3172" w14:textId="77777777" w:rsidR="00790301" w:rsidRPr="00560E66" w:rsidRDefault="00790301" w:rsidP="00790301">
                  <w:pPr>
                    <w:jc w:val="center"/>
                    <w:rPr>
                      <w:color w:val="auto"/>
                    </w:rPr>
                  </w:pPr>
                  <w:r w:rsidRPr="00560E66">
                    <w:rPr>
                      <w:color w:val="auto"/>
                    </w:rPr>
                    <w:t>32</w:t>
                  </w:r>
                </w:p>
              </w:tc>
              <w:tc>
                <w:tcPr>
                  <w:tcW w:w="1122" w:type="dxa"/>
                  <w:vAlign w:val="center"/>
                </w:tcPr>
                <w:p w14:paraId="0C5E8C27" w14:textId="77777777" w:rsidR="00790301" w:rsidRPr="00560E66" w:rsidRDefault="00790301" w:rsidP="00790301">
                  <w:pPr>
                    <w:jc w:val="center"/>
                    <w:rPr>
                      <w:color w:val="auto"/>
                    </w:rPr>
                  </w:pPr>
                  <w:r w:rsidRPr="00560E66">
                    <w:rPr>
                      <w:color w:val="auto"/>
                    </w:rPr>
                    <w:t>24</w:t>
                  </w:r>
                </w:p>
              </w:tc>
            </w:tr>
            <w:tr w:rsidR="00790301" w:rsidRPr="00560E66" w14:paraId="40157F2F" w14:textId="77777777" w:rsidTr="00790301">
              <w:trPr>
                <w:cantSplit/>
                <w:trHeight w:val="274"/>
              </w:trPr>
              <w:tc>
                <w:tcPr>
                  <w:tcW w:w="1479" w:type="dxa"/>
                  <w:vMerge/>
                  <w:vAlign w:val="center"/>
                </w:tcPr>
                <w:p w14:paraId="2A1BD69B" w14:textId="77777777" w:rsidR="00790301" w:rsidRPr="00560E66" w:rsidRDefault="00790301" w:rsidP="00790301">
                  <w:pPr>
                    <w:jc w:val="center"/>
                    <w:rPr>
                      <w:color w:val="auto"/>
                    </w:rPr>
                  </w:pPr>
                </w:p>
              </w:tc>
              <w:tc>
                <w:tcPr>
                  <w:tcW w:w="1545" w:type="dxa"/>
                  <w:vMerge/>
                  <w:vAlign w:val="center"/>
                </w:tcPr>
                <w:p w14:paraId="0904CAD9" w14:textId="77777777" w:rsidR="00790301" w:rsidRPr="00560E66" w:rsidRDefault="00790301" w:rsidP="00790301">
                  <w:pPr>
                    <w:jc w:val="center"/>
                    <w:rPr>
                      <w:color w:val="auto"/>
                    </w:rPr>
                  </w:pPr>
                </w:p>
              </w:tc>
              <w:tc>
                <w:tcPr>
                  <w:tcW w:w="448" w:type="dxa"/>
                  <w:vMerge/>
                  <w:textDirection w:val="tbRl"/>
                  <w:vAlign w:val="center"/>
                </w:tcPr>
                <w:p w14:paraId="17E68A17" w14:textId="77777777" w:rsidR="00790301" w:rsidRPr="00560E66" w:rsidRDefault="00790301" w:rsidP="00790301">
                  <w:pPr>
                    <w:ind w:left="113" w:right="113"/>
                    <w:jc w:val="center"/>
                    <w:rPr>
                      <w:color w:val="auto"/>
                      <w:sz w:val="16"/>
                    </w:rPr>
                  </w:pPr>
                </w:p>
              </w:tc>
              <w:tc>
                <w:tcPr>
                  <w:tcW w:w="1122" w:type="dxa"/>
                  <w:vAlign w:val="center"/>
                </w:tcPr>
                <w:p w14:paraId="024C4660" w14:textId="77777777" w:rsidR="00790301" w:rsidRPr="00560E66" w:rsidRDefault="00790301" w:rsidP="00790301">
                  <w:pPr>
                    <w:jc w:val="center"/>
                    <w:rPr>
                      <w:i/>
                      <w:color w:val="FF0000"/>
                      <w:sz w:val="18"/>
                    </w:rPr>
                  </w:pPr>
                  <w:r w:rsidRPr="00560E66">
                    <w:rPr>
                      <w:i/>
                      <w:color w:val="FF0000"/>
                      <w:sz w:val="18"/>
                    </w:rPr>
                    <w:t>24</w:t>
                  </w:r>
                </w:p>
              </w:tc>
              <w:tc>
                <w:tcPr>
                  <w:tcW w:w="1122" w:type="dxa"/>
                  <w:vAlign w:val="center"/>
                </w:tcPr>
                <w:p w14:paraId="43347A93" w14:textId="77777777" w:rsidR="00790301" w:rsidRPr="00560E66" w:rsidRDefault="00790301" w:rsidP="00790301">
                  <w:pPr>
                    <w:jc w:val="center"/>
                    <w:rPr>
                      <w:i/>
                      <w:color w:val="FF0000"/>
                      <w:sz w:val="18"/>
                    </w:rPr>
                  </w:pPr>
                  <w:r w:rsidRPr="00560E66">
                    <w:rPr>
                      <w:i/>
                      <w:color w:val="FF0000"/>
                      <w:sz w:val="18"/>
                    </w:rPr>
                    <w:t>25</w:t>
                  </w:r>
                </w:p>
              </w:tc>
              <w:tc>
                <w:tcPr>
                  <w:tcW w:w="1122" w:type="dxa"/>
                  <w:vAlign w:val="center"/>
                </w:tcPr>
                <w:p w14:paraId="4F4F233F" w14:textId="77777777" w:rsidR="00790301" w:rsidRPr="00560E66" w:rsidRDefault="00790301" w:rsidP="00790301">
                  <w:pPr>
                    <w:jc w:val="center"/>
                    <w:rPr>
                      <w:i/>
                      <w:color w:val="FF0000"/>
                      <w:sz w:val="18"/>
                    </w:rPr>
                  </w:pPr>
                  <w:r w:rsidRPr="00560E66">
                    <w:rPr>
                      <w:i/>
                      <w:color w:val="FF0000"/>
                      <w:sz w:val="18"/>
                    </w:rPr>
                    <w:t>26</w:t>
                  </w:r>
                </w:p>
              </w:tc>
              <w:tc>
                <w:tcPr>
                  <w:tcW w:w="1122" w:type="dxa"/>
                  <w:vAlign w:val="center"/>
                </w:tcPr>
                <w:p w14:paraId="2A0805C6" w14:textId="77777777" w:rsidR="00790301" w:rsidRPr="00560E66" w:rsidRDefault="00790301" w:rsidP="00790301">
                  <w:pPr>
                    <w:jc w:val="center"/>
                    <w:rPr>
                      <w:i/>
                      <w:color w:val="FF0000"/>
                      <w:sz w:val="18"/>
                    </w:rPr>
                  </w:pPr>
                  <w:r w:rsidRPr="00560E66">
                    <w:rPr>
                      <w:i/>
                      <w:color w:val="FF0000"/>
                      <w:sz w:val="18"/>
                    </w:rPr>
                    <w:t>25</w:t>
                  </w:r>
                </w:p>
              </w:tc>
              <w:tc>
                <w:tcPr>
                  <w:tcW w:w="1122" w:type="dxa"/>
                  <w:shd w:val="clear" w:color="auto" w:fill="D9D9D9" w:themeFill="background1" w:themeFillShade="D9"/>
                  <w:vAlign w:val="center"/>
                </w:tcPr>
                <w:p w14:paraId="10D24743"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6E049002" w14:textId="77777777" w:rsidR="00790301" w:rsidRPr="00560E66" w:rsidRDefault="00790301" w:rsidP="00790301">
                  <w:pPr>
                    <w:jc w:val="center"/>
                    <w:rPr>
                      <w:i/>
                      <w:color w:val="auto"/>
                      <w:sz w:val="18"/>
                    </w:rPr>
                  </w:pPr>
                </w:p>
              </w:tc>
            </w:tr>
            <w:tr w:rsidR="00790301" w:rsidRPr="00560E66" w14:paraId="7C7B841C" w14:textId="77777777" w:rsidTr="00790301">
              <w:trPr>
                <w:cantSplit/>
                <w:trHeight w:val="274"/>
              </w:trPr>
              <w:tc>
                <w:tcPr>
                  <w:tcW w:w="1479" w:type="dxa"/>
                  <w:vMerge/>
                  <w:vAlign w:val="center"/>
                </w:tcPr>
                <w:p w14:paraId="13BCFBA1" w14:textId="77777777" w:rsidR="00790301" w:rsidRPr="00560E66" w:rsidRDefault="00790301" w:rsidP="00790301">
                  <w:pPr>
                    <w:jc w:val="center"/>
                    <w:rPr>
                      <w:color w:val="auto"/>
                    </w:rPr>
                  </w:pPr>
                </w:p>
              </w:tc>
              <w:tc>
                <w:tcPr>
                  <w:tcW w:w="1545" w:type="dxa"/>
                  <w:vMerge w:val="restart"/>
                  <w:vAlign w:val="center"/>
                </w:tcPr>
                <w:p w14:paraId="540E02E3" w14:textId="77777777" w:rsidR="00790301" w:rsidRPr="00560E66" w:rsidRDefault="00790301" w:rsidP="00790301">
                  <w:pPr>
                    <w:jc w:val="center"/>
                    <w:rPr>
                      <w:color w:val="auto"/>
                    </w:rPr>
                  </w:pPr>
                  <w:r w:rsidRPr="00560E66">
                    <w:rPr>
                      <w:color w:val="auto"/>
                    </w:rPr>
                    <w:t>Writing</w:t>
                  </w:r>
                </w:p>
              </w:tc>
              <w:tc>
                <w:tcPr>
                  <w:tcW w:w="448" w:type="dxa"/>
                  <w:vMerge/>
                  <w:textDirection w:val="tbRl"/>
                  <w:vAlign w:val="center"/>
                </w:tcPr>
                <w:p w14:paraId="3891AF88" w14:textId="77777777" w:rsidR="00790301" w:rsidRPr="00560E66" w:rsidRDefault="00790301" w:rsidP="00790301">
                  <w:pPr>
                    <w:ind w:left="113" w:right="113"/>
                    <w:jc w:val="center"/>
                    <w:rPr>
                      <w:color w:val="auto"/>
                      <w:sz w:val="16"/>
                    </w:rPr>
                  </w:pPr>
                </w:p>
              </w:tc>
              <w:tc>
                <w:tcPr>
                  <w:tcW w:w="1122" w:type="dxa"/>
                  <w:vAlign w:val="center"/>
                </w:tcPr>
                <w:p w14:paraId="4807D1EB" w14:textId="77777777" w:rsidR="00790301" w:rsidRPr="00560E66" w:rsidRDefault="00790301" w:rsidP="00790301">
                  <w:pPr>
                    <w:jc w:val="center"/>
                    <w:rPr>
                      <w:color w:val="auto"/>
                    </w:rPr>
                  </w:pPr>
                  <w:r w:rsidRPr="00560E66">
                    <w:rPr>
                      <w:color w:val="auto"/>
                    </w:rPr>
                    <w:t>35</w:t>
                  </w:r>
                </w:p>
              </w:tc>
              <w:tc>
                <w:tcPr>
                  <w:tcW w:w="1122" w:type="dxa"/>
                  <w:vAlign w:val="center"/>
                </w:tcPr>
                <w:p w14:paraId="6F0CF238" w14:textId="77777777" w:rsidR="00790301" w:rsidRPr="00560E66" w:rsidRDefault="00790301" w:rsidP="00790301">
                  <w:pPr>
                    <w:jc w:val="center"/>
                    <w:rPr>
                      <w:color w:val="auto"/>
                    </w:rPr>
                  </w:pPr>
                  <w:r w:rsidRPr="00560E66">
                    <w:rPr>
                      <w:color w:val="auto"/>
                    </w:rPr>
                    <w:t>24</w:t>
                  </w:r>
                </w:p>
              </w:tc>
              <w:tc>
                <w:tcPr>
                  <w:tcW w:w="1122" w:type="dxa"/>
                  <w:vAlign w:val="center"/>
                </w:tcPr>
                <w:p w14:paraId="5EB543FB" w14:textId="77777777" w:rsidR="00790301" w:rsidRPr="00560E66" w:rsidRDefault="00790301" w:rsidP="00790301">
                  <w:pPr>
                    <w:jc w:val="center"/>
                    <w:rPr>
                      <w:color w:val="auto"/>
                    </w:rPr>
                  </w:pPr>
                  <w:r w:rsidRPr="00560E66">
                    <w:rPr>
                      <w:color w:val="auto"/>
                    </w:rPr>
                    <w:t>20</w:t>
                  </w:r>
                </w:p>
              </w:tc>
              <w:tc>
                <w:tcPr>
                  <w:tcW w:w="1122" w:type="dxa"/>
                  <w:vAlign w:val="center"/>
                </w:tcPr>
                <w:p w14:paraId="6AFDD4EA" w14:textId="77777777" w:rsidR="00790301" w:rsidRPr="00560E66" w:rsidRDefault="00790301" w:rsidP="00790301">
                  <w:pPr>
                    <w:jc w:val="center"/>
                    <w:rPr>
                      <w:color w:val="auto"/>
                    </w:rPr>
                  </w:pPr>
                  <w:r w:rsidRPr="00560E66">
                    <w:rPr>
                      <w:color w:val="auto"/>
                    </w:rPr>
                    <w:t>20</w:t>
                  </w:r>
                </w:p>
              </w:tc>
              <w:tc>
                <w:tcPr>
                  <w:tcW w:w="1122" w:type="dxa"/>
                  <w:vAlign w:val="center"/>
                </w:tcPr>
                <w:p w14:paraId="26DE01F5" w14:textId="77777777" w:rsidR="00790301" w:rsidRPr="00560E66" w:rsidRDefault="00790301" w:rsidP="00790301">
                  <w:pPr>
                    <w:jc w:val="center"/>
                    <w:rPr>
                      <w:color w:val="auto"/>
                    </w:rPr>
                  </w:pPr>
                  <w:r w:rsidRPr="00560E66">
                    <w:rPr>
                      <w:color w:val="auto"/>
                    </w:rPr>
                    <w:t>18</w:t>
                  </w:r>
                </w:p>
              </w:tc>
              <w:tc>
                <w:tcPr>
                  <w:tcW w:w="1122" w:type="dxa"/>
                  <w:vAlign w:val="center"/>
                </w:tcPr>
                <w:p w14:paraId="2DFDCBAD" w14:textId="77777777" w:rsidR="00790301" w:rsidRPr="00560E66" w:rsidRDefault="00790301" w:rsidP="00790301">
                  <w:pPr>
                    <w:jc w:val="center"/>
                    <w:rPr>
                      <w:color w:val="auto"/>
                    </w:rPr>
                  </w:pPr>
                  <w:r w:rsidRPr="00560E66">
                    <w:rPr>
                      <w:color w:val="auto"/>
                    </w:rPr>
                    <w:t>14</w:t>
                  </w:r>
                </w:p>
              </w:tc>
            </w:tr>
            <w:tr w:rsidR="00790301" w:rsidRPr="00560E66" w14:paraId="0BD8AC02" w14:textId="77777777" w:rsidTr="00790301">
              <w:trPr>
                <w:cantSplit/>
                <w:trHeight w:val="274"/>
              </w:trPr>
              <w:tc>
                <w:tcPr>
                  <w:tcW w:w="1479" w:type="dxa"/>
                  <w:vMerge/>
                  <w:vAlign w:val="center"/>
                </w:tcPr>
                <w:p w14:paraId="29882554" w14:textId="77777777" w:rsidR="00790301" w:rsidRPr="00560E66" w:rsidRDefault="00790301" w:rsidP="00790301">
                  <w:pPr>
                    <w:jc w:val="center"/>
                    <w:rPr>
                      <w:color w:val="auto"/>
                    </w:rPr>
                  </w:pPr>
                </w:p>
              </w:tc>
              <w:tc>
                <w:tcPr>
                  <w:tcW w:w="1545" w:type="dxa"/>
                  <w:vMerge/>
                  <w:vAlign w:val="center"/>
                </w:tcPr>
                <w:p w14:paraId="670CC46E" w14:textId="77777777" w:rsidR="00790301" w:rsidRPr="00560E66" w:rsidRDefault="00790301" w:rsidP="00790301">
                  <w:pPr>
                    <w:jc w:val="center"/>
                    <w:rPr>
                      <w:color w:val="auto"/>
                    </w:rPr>
                  </w:pPr>
                </w:p>
              </w:tc>
              <w:tc>
                <w:tcPr>
                  <w:tcW w:w="448" w:type="dxa"/>
                  <w:vMerge/>
                  <w:textDirection w:val="tbRl"/>
                  <w:vAlign w:val="center"/>
                </w:tcPr>
                <w:p w14:paraId="6FD8A3A6" w14:textId="77777777" w:rsidR="00790301" w:rsidRPr="00560E66" w:rsidRDefault="00790301" w:rsidP="00790301">
                  <w:pPr>
                    <w:ind w:left="113" w:right="113"/>
                    <w:jc w:val="center"/>
                    <w:rPr>
                      <w:color w:val="auto"/>
                      <w:sz w:val="16"/>
                    </w:rPr>
                  </w:pPr>
                </w:p>
              </w:tc>
              <w:tc>
                <w:tcPr>
                  <w:tcW w:w="1122" w:type="dxa"/>
                  <w:vAlign w:val="center"/>
                </w:tcPr>
                <w:p w14:paraId="650B0286" w14:textId="77777777" w:rsidR="00790301" w:rsidRPr="00560E66" w:rsidRDefault="00790301" w:rsidP="00790301">
                  <w:pPr>
                    <w:jc w:val="center"/>
                    <w:rPr>
                      <w:i/>
                      <w:color w:val="FF0000"/>
                      <w:sz w:val="18"/>
                    </w:rPr>
                  </w:pPr>
                  <w:r w:rsidRPr="00560E66">
                    <w:rPr>
                      <w:i/>
                      <w:color w:val="FF0000"/>
                      <w:sz w:val="18"/>
                    </w:rPr>
                    <w:t>13</w:t>
                  </w:r>
                </w:p>
              </w:tc>
              <w:tc>
                <w:tcPr>
                  <w:tcW w:w="1122" w:type="dxa"/>
                  <w:vAlign w:val="center"/>
                </w:tcPr>
                <w:p w14:paraId="726CCC2F" w14:textId="77777777" w:rsidR="00790301" w:rsidRPr="00560E66" w:rsidRDefault="00790301" w:rsidP="00790301">
                  <w:pPr>
                    <w:jc w:val="center"/>
                    <w:rPr>
                      <w:i/>
                      <w:color w:val="FF0000"/>
                      <w:sz w:val="18"/>
                    </w:rPr>
                  </w:pPr>
                  <w:r w:rsidRPr="00560E66">
                    <w:rPr>
                      <w:i/>
                      <w:color w:val="FF0000"/>
                      <w:sz w:val="18"/>
                    </w:rPr>
                    <w:t>18</w:t>
                  </w:r>
                </w:p>
              </w:tc>
              <w:tc>
                <w:tcPr>
                  <w:tcW w:w="1122" w:type="dxa"/>
                  <w:vAlign w:val="center"/>
                </w:tcPr>
                <w:p w14:paraId="52E20A6E" w14:textId="77777777" w:rsidR="00790301" w:rsidRPr="00560E66" w:rsidRDefault="00790301" w:rsidP="00790301">
                  <w:pPr>
                    <w:jc w:val="center"/>
                    <w:rPr>
                      <w:i/>
                      <w:color w:val="FF0000"/>
                      <w:sz w:val="18"/>
                    </w:rPr>
                  </w:pPr>
                  <w:r w:rsidRPr="00560E66">
                    <w:rPr>
                      <w:i/>
                      <w:color w:val="FF0000"/>
                      <w:sz w:val="18"/>
                    </w:rPr>
                    <w:t>16</w:t>
                  </w:r>
                </w:p>
              </w:tc>
              <w:tc>
                <w:tcPr>
                  <w:tcW w:w="1122" w:type="dxa"/>
                  <w:vAlign w:val="center"/>
                </w:tcPr>
                <w:p w14:paraId="44B6F268" w14:textId="77777777" w:rsidR="00790301" w:rsidRPr="00560E66" w:rsidRDefault="00790301" w:rsidP="00790301">
                  <w:pPr>
                    <w:jc w:val="center"/>
                    <w:rPr>
                      <w:i/>
                      <w:color w:val="FF0000"/>
                      <w:sz w:val="18"/>
                    </w:rPr>
                  </w:pPr>
                  <w:r w:rsidRPr="00560E66">
                    <w:rPr>
                      <w:i/>
                      <w:color w:val="FF0000"/>
                      <w:sz w:val="18"/>
                    </w:rPr>
                    <w:t>15</w:t>
                  </w:r>
                </w:p>
              </w:tc>
              <w:tc>
                <w:tcPr>
                  <w:tcW w:w="1122" w:type="dxa"/>
                  <w:shd w:val="clear" w:color="auto" w:fill="D9D9D9" w:themeFill="background1" w:themeFillShade="D9"/>
                  <w:vAlign w:val="center"/>
                </w:tcPr>
                <w:p w14:paraId="397E4E75"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3D94ADB4" w14:textId="77777777" w:rsidR="00790301" w:rsidRPr="00560E66" w:rsidRDefault="00790301" w:rsidP="00790301">
                  <w:pPr>
                    <w:jc w:val="center"/>
                    <w:rPr>
                      <w:i/>
                      <w:color w:val="auto"/>
                      <w:sz w:val="18"/>
                    </w:rPr>
                  </w:pPr>
                </w:p>
              </w:tc>
            </w:tr>
            <w:tr w:rsidR="00790301" w:rsidRPr="00560E66" w14:paraId="5980A52C" w14:textId="77777777" w:rsidTr="00790301">
              <w:trPr>
                <w:cantSplit/>
                <w:trHeight w:val="274"/>
              </w:trPr>
              <w:tc>
                <w:tcPr>
                  <w:tcW w:w="1479" w:type="dxa"/>
                  <w:vMerge/>
                  <w:vAlign w:val="center"/>
                </w:tcPr>
                <w:p w14:paraId="124B857F" w14:textId="77777777" w:rsidR="00790301" w:rsidRPr="00560E66" w:rsidRDefault="00790301" w:rsidP="00790301">
                  <w:pPr>
                    <w:jc w:val="center"/>
                    <w:rPr>
                      <w:color w:val="auto"/>
                    </w:rPr>
                  </w:pPr>
                </w:p>
              </w:tc>
              <w:tc>
                <w:tcPr>
                  <w:tcW w:w="1545" w:type="dxa"/>
                  <w:vMerge w:val="restart"/>
                  <w:vAlign w:val="center"/>
                </w:tcPr>
                <w:p w14:paraId="764D1886" w14:textId="77777777" w:rsidR="00790301" w:rsidRPr="00560E66" w:rsidRDefault="00790301" w:rsidP="00790301">
                  <w:pPr>
                    <w:jc w:val="center"/>
                    <w:rPr>
                      <w:color w:val="auto"/>
                    </w:rPr>
                  </w:pPr>
                  <w:proofErr w:type="spellStart"/>
                  <w:r w:rsidRPr="00560E66">
                    <w:rPr>
                      <w:color w:val="auto"/>
                    </w:rPr>
                    <w:t>Maths</w:t>
                  </w:r>
                  <w:proofErr w:type="spellEnd"/>
                </w:p>
              </w:tc>
              <w:tc>
                <w:tcPr>
                  <w:tcW w:w="448" w:type="dxa"/>
                  <w:vMerge/>
                  <w:textDirection w:val="tbRl"/>
                  <w:vAlign w:val="center"/>
                </w:tcPr>
                <w:p w14:paraId="06B2C026" w14:textId="77777777" w:rsidR="00790301" w:rsidRPr="00560E66" w:rsidRDefault="00790301" w:rsidP="00790301">
                  <w:pPr>
                    <w:ind w:left="113" w:right="113"/>
                    <w:jc w:val="center"/>
                    <w:rPr>
                      <w:color w:val="auto"/>
                      <w:sz w:val="16"/>
                    </w:rPr>
                  </w:pPr>
                </w:p>
              </w:tc>
              <w:tc>
                <w:tcPr>
                  <w:tcW w:w="1122" w:type="dxa"/>
                  <w:vAlign w:val="center"/>
                </w:tcPr>
                <w:p w14:paraId="128221D6" w14:textId="77777777" w:rsidR="00790301" w:rsidRPr="00560E66" w:rsidRDefault="00790301" w:rsidP="00790301">
                  <w:pPr>
                    <w:jc w:val="center"/>
                    <w:rPr>
                      <w:color w:val="auto"/>
                    </w:rPr>
                  </w:pPr>
                  <w:r w:rsidRPr="00560E66">
                    <w:rPr>
                      <w:color w:val="auto"/>
                    </w:rPr>
                    <w:t>37</w:t>
                  </w:r>
                </w:p>
              </w:tc>
              <w:tc>
                <w:tcPr>
                  <w:tcW w:w="1122" w:type="dxa"/>
                  <w:vAlign w:val="center"/>
                </w:tcPr>
                <w:p w14:paraId="2558D2C7" w14:textId="77777777" w:rsidR="00790301" w:rsidRPr="00560E66" w:rsidRDefault="00790301" w:rsidP="00790301">
                  <w:pPr>
                    <w:jc w:val="center"/>
                    <w:rPr>
                      <w:color w:val="auto"/>
                    </w:rPr>
                  </w:pPr>
                  <w:r w:rsidRPr="00560E66">
                    <w:rPr>
                      <w:color w:val="auto"/>
                    </w:rPr>
                    <w:t>35</w:t>
                  </w:r>
                </w:p>
              </w:tc>
              <w:tc>
                <w:tcPr>
                  <w:tcW w:w="1122" w:type="dxa"/>
                  <w:vAlign w:val="center"/>
                </w:tcPr>
                <w:p w14:paraId="5B9AF36F" w14:textId="77777777" w:rsidR="00790301" w:rsidRPr="00560E66" w:rsidRDefault="00790301" w:rsidP="00790301">
                  <w:pPr>
                    <w:jc w:val="center"/>
                    <w:rPr>
                      <w:color w:val="auto"/>
                    </w:rPr>
                  </w:pPr>
                  <w:r w:rsidRPr="00560E66">
                    <w:rPr>
                      <w:color w:val="auto"/>
                    </w:rPr>
                    <w:t>32</w:t>
                  </w:r>
                </w:p>
              </w:tc>
              <w:tc>
                <w:tcPr>
                  <w:tcW w:w="1122" w:type="dxa"/>
                  <w:vAlign w:val="center"/>
                </w:tcPr>
                <w:p w14:paraId="6279CCAD" w14:textId="77777777" w:rsidR="00790301" w:rsidRPr="00560E66" w:rsidRDefault="00790301" w:rsidP="00790301">
                  <w:pPr>
                    <w:jc w:val="center"/>
                    <w:rPr>
                      <w:color w:val="auto"/>
                    </w:rPr>
                  </w:pPr>
                  <w:r w:rsidRPr="00560E66">
                    <w:rPr>
                      <w:color w:val="auto"/>
                    </w:rPr>
                    <w:t>32</w:t>
                  </w:r>
                </w:p>
              </w:tc>
              <w:tc>
                <w:tcPr>
                  <w:tcW w:w="1122" w:type="dxa"/>
                  <w:vAlign w:val="center"/>
                </w:tcPr>
                <w:p w14:paraId="75AE0381" w14:textId="77777777" w:rsidR="00790301" w:rsidRPr="00560E66" w:rsidRDefault="00790301" w:rsidP="00790301">
                  <w:pPr>
                    <w:jc w:val="center"/>
                    <w:rPr>
                      <w:color w:val="auto"/>
                    </w:rPr>
                  </w:pPr>
                  <w:r w:rsidRPr="00560E66">
                    <w:rPr>
                      <w:color w:val="auto"/>
                    </w:rPr>
                    <w:t>30</w:t>
                  </w:r>
                </w:p>
              </w:tc>
              <w:tc>
                <w:tcPr>
                  <w:tcW w:w="1122" w:type="dxa"/>
                  <w:vAlign w:val="center"/>
                </w:tcPr>
                <w:p w14:paraId="2FC952F7" w14:textId="77777777" w:rsidR="00790301" w:rsidRPr="00560E66" w:rsidRDefault="00790301" w:rsidP="00790301">
                  <w:pPr>
                    <w:jc w:val="center"/>
                    <w:rPr>
                      <w:color w:val="auto"/>
                    </w:rPr>
                  </w:pPr>
                  <w:r w:rsidRPr="00560E66">
                    <w:rPr>
                      <w:color w:val="auto"/>
                    </w:rPr>
                    <w:t>16</w:t>
                  </w:r>
                </w:p>
              </w:tc>
            </w:tr>
            <w:tr w:rsidR="00790301" w:rsidRPr="00560E66" w14:paraId="27BC7B86" w14:textId="77777777" w:rsidTr="00790301">
              <w:trPr>
                <w:cantSplit/>
                <w:trHeight w:val="274"/>
              </w:trPr>
              <w:tc>
                <w:tcPr>
                  <w:tcW w:w="1479" w:type="dxa"/>
                  <w:vMerge/>
                  <w:vAlign w:val="center"/>
                </w:tcPr>
                <w:p w14:paraId="374D61DA" w14:textId="77777777" w:rsidR="00790301" w:rsidRPr="00560E66" w:rsidRDefault="00790301" w:rsidP="00790301">
                  <w:pPr>
                    <w:jc w:val="center"/>
                    <w:rPr>
                      <w:color w:val="auto"/>
                    </w:rPr>
                  </w:pPr>
                </w:p>
              </w:tc>
              <w:tc>
                <w:tcPr>
                  <w:tcW w:w="1545" w:type="dxa"/>
                  <w:vMerge/>
                  <w:vAlign w:val="center"/>
                </w:tcPr>
                <w:p w14:paraId="2EAFAC02" w14:textId="77777777" w:rsidR="00790301" w:rsidRPr="00560E66" w:rsidRDefault="00790301" w:rsidP="00790301">
                  <w:pPr>
                    <w:jc w:val="center"/>
                    <w:rPr>
                      <w:color w:val="auto"/>
                    </w:rPr>
                  </w:pPr>
                </w:p>
              </w:tc>
              <w:tc>
                <w:tcPr>
                  <w:tcW w:w="448" w:type="dxa"/>
                  <w:vMerge/>
                  <w:textDirection w:val="tbRl"/>
                  <w:vAlign w:val="center"/>
                </w:tcPr>
                <w:p w14:paraId="24668AF7" w14:textId="77777777" w:rsidR="00790301" w:rsidRPr="00560E66" w:rsidRDefault="00790301" w:rsidP="00790301">
                  <w:pPr>
                    <w:ind w:left="113" w:right="113"/>
                    <w:jc w:val="center"/>
                    <w:rPr>
                      <w:color w:val="auto"/>
                      <w:sz w:val="16"/>
                    </w:rPr>
                  </w:pPr>
                </w:p>
              </w:tc>
              <w:tc>
                <w:tcPr>
                  <w:tcW w:w="1122" w:type="dxa"/>
                  <w:vAlign w:val="center"/>
                </w:tcPr>
                <w:p w14:paraId="0CEDEF17" w14:textId="77777777" w:rsidR="00790301" w:rsidRPr="00560E66" w:rsidRDefault="00790301" w:rsidP="00790301">
                  <w:pPr>
                    <w:jc w:val="center"/>
                    <w:rPr>
                      <w:i/>
                      <w:color w:val="FF0000"/>
                      <w:sz w:val="18"/>
                    </w:rPr>
                  </w:pPr>
                  <w:r w:rsidRPr="00560E66">
                    <w:rPr>
                      <w:i/>
                      <w:color w:val="FF0000"/>
                      <w:sz w:val="18"/>
                    </w:rPr>
                    <w:t>18</w:t>
                  </w:r>
                </w:p>
              </w:tc>
              <w:tc>
                <w:tcPr>
                  <w:tcW w:w="1122" w:type="dxa"/>
                  <w:vAlign w:val="center"/>
                </w:tcPr>
                <w:p w14:paraId="1EF9F22A" w14:textId="77777777" w:rsidR="00790301" w:rsidRPr="00560E66" w:rsidRDefault="00790301" w:rsidP="00790301">
                  <w:pPr>
                    <w:jc w:val="center"/>
                    <w:rPr>
                      <w:i/>
                      <w:color w:val="FF0000"/>
                      <w:sz w:val="18"/>
                    </w:rPr>
                  </w:pPr>
                  <w:r w:rsidRPr="00560E66">
                    <w:rPr>
                      <w:i/>
                      <w:color w:val="FF0000"/>
                      <w:sz w:val="18"/>
                    </w:rPr>
                    <w:t>21</w:t>
                  </w:r>
                </w:p>
              </w:tc>
              <w:tc>
                <w:tcPr>
                  <w:tcW w:w="1122" w:type="dxa"/>
                  <w:vAlign w:val="center"/>
                </w:tcPr>
                <w:p w14:paraId="75CC008F" w14:textId="77777777" w:rsidR="00790301" w:rsidRPr="00560E66" w:rsidRDefault="00790301" w:rsidP="00790301">
                  <w:pPr>
                    <w:jc w:val="center"/>
                    <w:rPr>
                      <w:i/>
                      <w:color w:val="FF0000"/>
                      <w:sz w:val="18"/>
                    </w:rPr>
                  </w:pPr>
                  <w:r w:rsidRPr="00560E66">
                    <w:rPr>
                      <w:i/>
                      <w:color w:val="FF0000"/>
                      <w:sz w:val="18"/>
                    </w:rPr>
                    <w:t>22</w:t>
                  </w:r>
                </w:p>
              </w:tc>
              <w:tc>
                <w:tcPr>
                  <w:tcW w:w="1122" w:type="dxa"/>
                  <w:vAlign w:val="center"/>
                </w:tcPr>
                <w:p w14:paraId="2E3E5CD8" w14:textId="77777777" w:rsidR="00790301" w:rsidRPr="00560E66" w:rsidRDefault="00790301" w:rsidP="00790301">
                  <w:pPr>
                    <w:jc w:val="center"/>
                    <w:rPr>
                      <w:i/>
                      <w:color w:val="FF0000"/>
                      <w:sz w:val="18"/>
                    </w:rPr>
                  </w:pPr>
                  <w:r w:rsidRPr="00560E66">
                    <w:rPr>
                      <w:i/>
                      <w:color w:val="FF0000"/>
                      <w:sz w:val="18"/>
                    </w:rPr>
                    <w:t>22</w:t>
                  </w:r>
                </w:p>
              </w:tc>
              <w:tc>
                <w:tcPr>
                  <w:tcW w:w="1122" w:type="dxa"/>
                  <w:shd w:val="clear" w:color="auto" w:fill="D9D9D9" w:themeFill="background1" w:themeFillShade="D9"/>
                  <w:vAlign w:val="center"/>
                </w:tcPr>
                <w:p w14:paraId="297C9DB7"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2CBB47C1" w14:textId="77777777" w:rsidR="00790301" w:rsidRPr="00560E66" w:rsidRDefault="00790301" w:rsidP="00790301">
                  <w:pPr>
                    <w:jc w:val="center"/>
                    <w:rPr>
                      <w:i/>
                      <w:color w:val="auto"/>
                      <w:sz w:val="18"/>
                    </w:rPr>
                  </w:pPr>
                </w:p>
              </w:tc>
            </w:tr>
            <w:tr w:rsidR="00790301" w:rsidRPr="00560E66" w14:paraId="06CB7CAC" w14:textId="77777777" w:rsidTr="00790301">
              <w:trPr>
                <w:cantSplit/>
                <w:trHeight w:val="274"/>
              </w:trPr>
              <w:tc>
                <w:tcPr>
                  <w:tcW w:w="1479" w:type="dxa"/>
                  <w:vMerge w:val="restart"/>
                  <w:vAlign w:val="center"/>
                </w:tcPr>
                <w:p w14:paraId="04DB974E" w14:textId="77777777" w:rsidR="00790301" w:rsidRPr="00560E66" w:rsidRDefault="00790301" w:rsidP="00790301">
                  <w:pPr>
                    <w:jc w:val="center"/>
                    <w:rPr>
                      <w:color w:val="auto"/>
                    </w:rPr>
                  </w:pPr>
                  <w:r w:rsidRPr="00560E66">
                    <w:rPr>
                      <w:color w:val="auto"/>
                    </w:rPr>
                    <w:t>Year 2 Phonics</w:t>
                  </w:r>
                </w:p>
              </w:tc>
              <w:tc>
                <w:tcPr>
                  <w:tcW w:w="1994" w:type="dxa"/>
                  <w:gridSpan w:val="2"/>
                  <w:vMerge w:val="restart"/>
                  <w:vAlign w:val="center"/>
                </w:tcPr>
                <w:p w14:paraId="774833B8" w14:textId="77777777" w:rsidR="00790301" w:rsidRPr="00560E66" w:rsidRDefault="00790301" w:rsidP="00790301">
                  <w:pPr>
                    <w:ind w:left="113" w:right="113"/>
                    <w:jc w:val="center"/>
                    <w:rPr>
                      <w:color w:val="auto"/>
                      <w:sz w:val="16"/>
                    </w:rPr>
                  </w:pPr>
                  <w:r w:rsidRPr="00560E66">
                    <w:rPr>
                      <w:color w:val="auto"/>
                    </w:rPr>
                    <w:t>Pupils meeting threshold</w:t>
                  </w:r>
                </w:p>
              </w:tc>
              <w:tc>
                <w:tcPr>
                  <w:tcW w:w="1122" w:type="dxa"/>
                  <w:vAlign w:val="center"/>
                </w:tcPr>
                <w:p w14:paraId="27F51660" w14:textId="77777777" w:rsidR="00790301" w:rsidRPr="00560E66" w:rsidRDefault="00790301" w:rsidP="00790301">
                  <w:pPr>
                    <w:jc w:val="center"/>
                    <w:rPr>
                      <w:color w:val="auto"/>
                    </w:rPr>
                  </w:pPr>
                  <w:r w:rsidRPr="00560E66">
                    <w:rPr>
                      <w:color w:val="auto"/>
                    </w:rPr>
                    <w:t>87</w:t>
                  </w:r>
                </w:p>
              </w:tc>
              <w:tc>
                <w:tcPr>
                  <w:tcW w:w="1122" w:type="dxa"/>
                  <w:vAlign w:val="center"/>
                </w:tcPr>
                <w:p w14:paraId="00683686" w14:textId="77777777" w:rsidR="00790301" w:rsidRPr="00560E66" w:rsidRDefault="00790301" w:rsidP="00790301">
                  <w:pPr>
                    <w:jc w:val="center"/>
                    <w:rPr>
                      <w:color w:val="auto"/>
                    </w:rPr>
                  </w:pPr>
                  <w:r w:rsidRPr="00560E66">
                    <w:rPr>
                      <w:color w:val="auto"/>
                    </w:rPr>
                    <w:t>98</w:t>
                  </w:r>
                </w:p>
              </w:tc>
              <w:tc>
                <w:tcPr>
                  <w:tcW w:w="1122" w:type="dxa"/>
                  <w:vAlign w:val="center"/>
                </w:tcPr>
                <w:p w14:paraId="39005765" w14:textId="77777777" w:rsidR="00790301" w:rsidRPr="00560E66" w:rsidRDefault="00790301" w:rsidP="00790301">
                  <w:pPr>
                    <w:jc w:val="center"/>
                    <w:rPr>
                      <w:color w:val="auto"/>
                    </w:rPr>
                  </w:pPr>
                  <w:r w:rsidRPr="00560E66">
                    <w:rPr>
                      <w:color w:val="auto"/>
                    </w:rPr>
                    <w:t>98</w:t>
                  </w:r>
                </w:p>
              </w:tc>
              <w:tc>
                <w:tcPr>
                  <w:tcW w:w="1122" w:type="dxa"/>
                  <w:vAlign w:val="center"/>
                </w:tcPr>
                <w:p w14:paraId="5D2597AE" w14:textId="77777777" w:rsidR="00790301" w:rsidRPr="00560E66" w:rsidRDefault="00790301" w:rsidP="00790301">
                  <w:pPr>
                    <w:jc w:val="center"/>
                    <w:rPr>
                      <w:color w:val="auto"/>
                    </w:rPr>
                  </w:pPr>
                  <w:r w:rsidRPr="00560E66">
                    <w:rPr>
                      <w:color w:val="auto"/>
                    </w:rPr>
                    <w:t>95</w:t>
                  </w:r>
                </w:p>
              </w:tc>
              <w:tc>
                <w:tcPr>
                  <w:tcW w:w="1122" w:type="dxa"/>
                  <w:vAlign w:val="center"/>
                </w:tcPr>
                <w:p w14:paraId="0638DC36" w14:textId="77777777" w:rsidR="00790301" w:rsidRPr="00560E66" w:rsidRDefault="00790301" w:rsidP="00790301">
                  <w:pPr>
                    <w:jc w:val="center"/>
                    <w:rPr>
                      <w:color w:val="auto"/>
                    </w:rPr>
                  </w:pPr>
                  <w:r w:rsidRPr="00560E66">
                    <w:rPr>
                      <w:color w:val="auto"/>
                    </w:rPr>
                    <w:t>n/a</w:t>
                  </w:r>
                </w:p>
              </w:tc>
              <w:tc>
                <w:tcPr>
                  <w:tcW w:w="1122" w:type="dxa"/>
                  <w:vAlign w:val="center"/>
                </w:tcPr>
                <w:p w14:paraId="4E64A99B" w14:textId="77777777" w:rsidR="00790301" w:rsidRPr="00560E66" w:rsidRDefault="00790301" w:rsidP="00790301">
                  <w:pPr>
                    <w:jc w:val="center"/>
                    <w:rPr>
                      <w:color w:val="auto"/>
                    </w:rPr>
                  </w:pPr>
                  <w:r w:rsidRPr="00560E66">
                    <w:rPr>
                      <w:color w:val="auto"/>
                    </w:rPr>
                    <w:t>94</w:t>
                  </w:r>
                </w:p>
              </w:tc>
            </w:tr>
            <w:tr w:rsidR="00790301" w:rsidRPr="00560E66" w14:paraId="6BE67671" w14:textId="77777777" w:rsidTr="00790301">
              <w:trPr>
                <w:cantSplit/>
                <w:trHeight w:val="274"/>
              </w:trPr>
              <w:tc>
                <w:tcPr>
                  <w:tcW w:w="1479" w:type="dxa"/>
                  <w:vMerge/>
                  <w:vAlign w:val="center"/>
                </w:tcPr>
                <w:p w14:paraId="477A9266" w14:textId="77777777" w:rsidR="00790301" w:rsidRPr="00560E66" w:rsidRDefault="00790301" w:rsidP="00790301">
                  <w:pPr>
                    <w:jc w:val="center"/>
                    <w:rPr>
                      <w:color w:val="auto"/>
                    </w:rPr>
                  </w:pPr>
                </w:p>
              </w:tc>
              <w:tc>
                <w:tcPr>
                  <w:tcW w:w="1994" w:type="dxa"/>
                  <w:gridSpan w:val="2"/>
                  <w:vMerge/>
                  <w:vAlign w:val="center"/>
                </w:tcPr>
                <w:p w14:paraId="444F2A92" w14:textId="77777777" w:rsidR="00790301" w:rsidRPr="00560E66" w:rsidRDefault="00790301" w:rsidP="00790301">
                  <w:pPr>
                    <w:ind w:left="113" w:right="113"/>
                    <w:jc w:val="center"/>
                    <w:rPr>
                      <w:color w:val="auto"/>
                      <w:sz w:val="16"/>
                    </w:rPr>
                  </w:pPr>
                </w:p>
              </w:tc>
              <w:tc>
                <w:tcPr>
                  <w:tcW w:w="1122" w:type="dxa"/>
                  <w:vAlign w:val="center"/>
                </w:tcPr>
                <w:p w14:paraId="2C2102E0" w14:textId="77777777" w:rsidR="00790301" w:rsidRPr="00560E66" w:rsidRDefault="00790301" w:rsidP="00790301">
                  <w:pPr>
                    <w:jc w:val="center"/>
                    <w:rPr>
                      <w:i/>
                      <w:color w:val="FF0000"/>
                      <w:sz w:val="18"/>
                    </w:rPr>
                  </w:pPr>
                  <w:r w:rsidRPr="00560E66">
                    <w:rPr>
                      <w:i/>
                      <w:color w:val="FF0000"/>
                      <w:sz w:val="18"/>
                    </w:rPr>
                    <w:t>91</w:t>
                  </w:r>
                </w:p>
              </w:tc>
              <w:tc>
                <w:tcPr>
                  <w:tcW w:w="1122" w:type="dxa"/>
                  <w:vAlign w:val="center"/>
                </w:tcPr>
                <w:p w14:paraId="09780B11" w14:textId="77777777" w:rsidR="00790301" w:rsidRPr="00560E66" w:rsidRDefault="00790301" w:rsidP="00790301">
                  <w:pPr>
                    <w:jc w:val="center"/>
                    <w:rPr>
                      <w:i/>
                      <w:color w:val="FF0000"/>
                      <w:sz w:val="18"/>
                    </w:rPr>
                  </w:pPr>
                  <w:r w:rsidRPr="00560E66">
                    <w:rPr>
                      <w:i/>
                      <w:color w:val="FF0000"/>
                      <w:sz w:val="18"/>
                    </w:rPr>
                    <w:t>91</w:t>
                  </w:r>
                </w:p>
              </w:tc>
              <w:tc>
                <w:tcPr>
                  <w:tcW w:w="1122" w:type="dxa"/>
                  <w:vAlign w:val="center"/>
                </w:tcPr>
                <w:p w14:paraId="5D4D4DC9" w14:textId="77777777" w:rsidR="00790301" w:rsidRPr="00560E66" w:rsidRDefault="00790301" w:rsidP="00790301">
                  <w:pPr>
                    <w:jc w:val="center"/>
                    <w:rPr>
                      <w:i/>
                      <w:color w:val="FF0000"/>
                      <w:sz w:val="18"/>
                    </w:rPr>
                  </w:pPr>
                  <w:r w:rsidRPr="00560E66">
                    <w:rPr>
                      <w:i/>
                      <w:color w:val="FF0000"/>
                      <w:sz w:val="18"/>
                    </w:rPr>
                    <w:t>91</w:t>
                  </w:r>
                </w:p>
              </w:tc>
              <w:tc>
                <w:tcPr>
                  <w:tcW w:w="1122" w:type="dxa"/>
                  <w:vAlign w:val="center"/>
                </w:tcPr>
                <w:p w14:paraId="79AE0436" w14:textId="77777777" w:rsidR="00790301" w:rsidRPr="00560E66" w:rsidRDefault="00790301" w:rsidP="00790301">
                  <w:pPr>
                    <w:jc w:val="center"/>
                    <w:rPr>
                      <w:i/>
                      <w:color w:val="FF0000"/>
                      <w:sz w:val="18"/>
                    </w:rPr>
                  </w:pPr>
                  <w:r w:rsidRPr="00560E66">
                    <w:rPr>
                      <w:i/>
                      <w:color w:val="FF0000"/>
                      <w:sz w:val="18"/>
                    </w:rPr>
                    <w:t>91</w:t>
                  </w:r>
                </w:p>
              </w:tc>
              <w:tc>
                <w:tcPr>
                  <w:tcW w:w="1122" w:type="dxa"/>
                  <w:shd w:val="clear" w:color="auto" w:fill="D9D9D9" w:themeFill="background1" w:themeFillShade="D9"/>
                  <w:vAlign w:val="center"/>
                </w:tcPr>
                <w:p w14:paraId="23E496E9"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137E35E6" w14:textId="77777777" w:rsidR="00790301" w:rsidRPr="00560E66" w:rsidRDefault="00790301" w:rsidP="00790301">
                  <w:pPr>
                    <w:jc w:val="center"/>
                    <w:rPr>
                      <w:i/>
                      <w:color w:val="auto"/>
                      <w:sz w:val="18"/>
                    </w:rPr>
                  </w:pPr>
                </w:p>
              </w:tc>
            </w:tr>
            <w:tr w:rsidR="00790301" w:rsidRPr="00560E66" w14:paraId="63858796" w14:textId="77777777" w:rsidTr="00790301">
              <w:trPr>
                <w:cantSplit/>
                <w:trHeight w:val="274"/>
              </w:trPr>
              <w:tc>
                <w:tcPr>
                  <w:tcW w:w="1479" w:type="dxa"/>
                  <w:vMerge w:val="restart"/>
                  <w:vAlign w:val="center"/>
                </w:tcPr>
                <w:p w14:paraId="035ACE9B" w14:textId="77777777" w:rsidR="00790301" w:rsidRPr="00560E66" w:rsidRDefault="00790301" w:rsidP="00790301">
                  <w:pPr>
                    <w:jc w:val="center"/>
                    <w:rPr>
                      <w:color w:val="auto"/>
                    </w:rPr>
                  </w:pPr>
                  <w:r w:rsidRPr="00560E66">
                    <w:rPr>
                      <w:color w:val="auto"/>
                    </w:rPr>
                    <w:t>Year 1 Phonics</w:t>
                  </w:r>
                </w:p>
              </w:tc>
              <w:tc>
                <w:tcPr>
                  <w:tcW w:w="1994" w:type="dxa"/>
                  <w:gridSpan w:val="2"/>
                  <w:vMerge w:val="restart"/>
                  <w:vAlign w:val="center"/>
                </w:tcPr>
                <w:p w14:paraId="4DB4C608" w14:textId="77777777" w:rsidR="00790301" w:rsidRPr="00560E66" w:rsidRDefault="00790301" w:rsidP="00790301">
                  <w:pPr>
                    <w:ind w:left="113" w:right="113"/>
                    <w:jc w:val="center"/>
                    <w:rPr>
                      <w:color w:val="auto"/>
                      <w:sz w:val="16"/>
                    </w:rPr>
                  </w:pPr>
                  <w:r w:rsidRPr="00560E66">
                    <w:rPr>
                      <w:color w:val="auto"/>
                    </w:rPr>
                    <w:t>Pupils meeting threshold</w:t>
                  </w:r>
                </w:p>
              </w:tc>
              <w:tc>
                <w:tcPr>
                  <w:tcW w:w="1122" w:type="dxa"/>
                  <w:vAlign w:val="center"/>
                </w:tcPr>
                <w:p w14:paraId="2B1E03D0" w14:textId="77777777" w:rsidR="00790301" w:rsidRPr="00560E66" w:rsidRDefault="00790301" w:rsidP="00790301">
                  <w:pPr>
                    <w:jc w:val="center"/>
                    <w:rPr>
                      <w:color w:val="auto"/>
                    </w:rPr>
                  </w:pPr>
                  <w:r w:rsidRPr="00560E66">
                    <w:rPr>
                      <w:color w:val="auto"/>
                    </w:rPr>
                    <w:t>83</w:t>
                  </w:r>
                </w:p>
              </w:tc>
              <w:tc>
                <w:tcPr>
                  <w:tcW w:w="1122" w:type="dxa"/>
                  <w:vAlign w:val="center"/>
                </w:tcPr>
                <w:p w14:paraId="39851369" w14:textId="77777777" w:rsidR="00790301" w:rsidRPr="00560E66" w:rsidRDefault="00790301" w:rsidP="00790301">
                  <w:pPr>
                    <w:jc w:val="center"/>
                    <w:rPr>
                      <w:color w:val="auto"/>
                    </w:rPr>
                  </w:pPr>
                  <w:r w:rsidRPr="00560E66">
                    <w:rPr>
                      <w:color w:val="auto"/>
                    </w:rPr>
                    <w:t>84</w:t>
                  </w:r>
                </w:p>
              </w:tc>
              <w:tc>
                <w:tcPr>
                  <w:tcW w:w="1122" w:type="dxa"/>
                  <w:vAlign w:val="center"/>
                </w:tcPr>
                <w:p w14:paraId="41467C9C" w14:textId="77777777" w:rsidR="00790301" w:rsidRPr="00560E66" w:rsidRDefault="00790301" w:rsidP="00790301">
                  <w:pPr>
                    <w:jc w:val="center"/>
                    <w:rPr>
                      <w:color w:val="auto"/>
                    </w:rPr>
                  </w:pPr>
                  <w:r w:rsidRPr="00560E66">
                    <w:rPr>
                      <w:color w:val="auto"/>
                    </w:rPr>
                    <w:t>90</w:t>
                  </w:r>
                </w:p>
              </w:tc>
              <w:tc>
                <w:tcPr>
                  <w:tcW w:w="1122" w:type="dxa"/>
                  <w:vAlign w:val="center"/>
                </w:tcPr>
                <w:p w14:paraId="482741DD" w14:textId="77777777" w:rsidR="00790301" w:rsidRPr="00560E66" w:rsidRDefault="00790301" w:rsidP="00790301">
                  <w:pPr>
                    <w:jc w:val="center"/>
                    <w:rPr>
                      <w:color w:val="auto"/>
                    </w:rPr>
                  </w:pPr>
                  <w:r w:rsidRPr="00560E66">
                    <w:rPr>
                      <w:color w:val="auto"/>
                    </w:rPr>
                    <w:t>89</w:t>
                  </w:r>
                </w:p>
              </w:tc>
              <w:tc>
                <w:tcPr>
                  <w:tcW w:w="1122" w:type="dxa"/>
                  <w:vAlign w:val="center"/>
                </w:tcPr>
                <w:p w14:paraId="2516A948" w14:textId="77777777" w:rsidR="00790301" w:rsidRPr="00560E66" w:rsidRDefault="00790301" w:rsidP="00790301">
                  <w:pPr>
                    <w:jc w:val="center"/>
                    <w:rPr>
                      <w:color w:val="auto"/>
                    </w:rPr>
                  </w:pPr>
                  <w:r w:rsidRPr="00560E66">
                    <w:rPr>
                      <w:color w:val="auto"/>
                    </w:rPr>
                    <w:t>n/a</w:t>
                  </w:r>
                </w:p>
              </w:tc>
              <w:tc>
                <w:tcPr>
                  <w:tcW w:w="1122" w:type="dxa"/>
                  <w:vAlign w:val="center"/>
                </w:tcPr>
                <w:p w14:paraId="7168FB81" w14:textId="77777777" w:rsidR="00790301" w:rsidRPr="00560E66" w:rsidRDefault="00790301" w:rsidP="00790301">
                  <w:pPr>
                    <w:jc w:val="center"/>
                    <w:rPr>
                      <w:color w:val="auto"/>
                    </w:rPr>
                  </w:pPr>
                  <w:r w:rsidRPr="00560E66">
                    <w:rPr>
                      <w:color w:val="auto"/>
                    </w:rPr>
                    <w:t>70</w:t>
                  </w:r>
                </w:p>
              </w:tc>
            </w:tr>
            <w:tr w:rsidR="00790301" w:rsidRPr="00560E66" w14:paraId="46DBF903" w14:textId="77777777" w:rsidTr="00790301">
              <w:trPr>
                <w:cantSplit/>
                <w:trHeight w:val="274"/>
              </w:trPr>
              <w:tc>
                <w:tcPr>
                  <w:tcW w:w="1479" w:type="dxa"/>
                  <w:vMerge/>
                  <w:vAlign w:val="center"/>
                </w:tcPr>
                <w:p w14:paraId="14AF6BEC" w14:textId="77777777" w:rsidR="00790301" w:rsidRPr="00560E66" w:rsidRDefault="00790301" w:rsidP="00790301">
                  <w:pPr>
                    <w:jc w:val="center"/>
                    <w:rPr>
                      <w:color w:val="auto"/>
                    </w:rPr>
                  </w:pPr>
                </w:p>
              </w:tc>
              <w:tc>
                <w:tcPr>
                  <w:tcW w:w="1994" w:type="dxa"/>
                  <w:gridSpan w:val="2"/>
                  <w:vMerge/>
                  <w:vAlign w:val="center"/>
                </w:tcPr>
                <w:p w14:paraId="28CBFBD3" w14:textId="77777777" w:rsidR="00790301" w:rsidRPr="00560E66" w:rsidRDefault="00790301" w:rsidP="00790301">
                  <w:pPr>
                    <w:ind w:left="113" w:right="113"/>
                    <w:jc w:val="center"/>
                    <w:rPr>
                      <w:color w:val="auto"/>
                      <w:sz w:val="16"/>
                    </w:rPr>
                  </w:pPr>
                </w:p>
              </w:tc>
              <w:tc>
                <w:tcPr>
                  <w:tcW w:w="1122" w:type="dxa"/>
                  <w:vAlign w:val="center"/>
                </w:tcPr>
                <w:p w14:paraId="3488A53F" w14:textId="77777777" w:rsidR="00790301" w:rsidRPr="00560E66" w:rsidRDefault="00790301" w:rsidP="00790301">
                  <w:pPr>
                    <w:jc w:val="center"/>
                    <w:rPr>
                      <w:i/>
                      <w:color w:val="FF0000"/>
                      <w:sz w:val="18"/>
                    </w:rPr>
                  </w:pPr>
                  <w:r w:rsidRPr="00560E66">
                    <w:rPr>
                      <w:i/>
                      <w:color w:val="FF0000"/>
                      <w:sz w:val="18"/>
                    </w:rPr>
                    <w:t>81</w:t>
                  </w:r>
                </w:p>
              </w:tc>
              <w:tc>
                <w:tcPr>
                  <w:tcW w:w="1122" w:type="dxa"/>
                  <w:vAlign w:val="center"/>
                </w:tcPr>
                <w:p w14:paraId="79382252" w14:textId="77777777" w:rsidR="00790301" w:rsidRPr="00560E66" w:rsidRDefault="00790301" w:rsidP="00790301">
                  <w:pPr>
                    <w:jc w:val="center"/>
                    <w:rPr>
                      <w:i/>
                      <w:color w:val="FF0000"/>
                      <w:sz w:val="18"/>
                    </w:rPr>
                  </w:pPr>
                  <w:r w:rsidRPr="00560E66">
                    <w:rPr>
                      <w:i/>
                      <w:color w:val="FF0000"/>
                      <w:sz w:val="18"/>
                    </w:rPr>
                    <w:t>81</w:t>
                  </w:r>
                </w:p>
              </w:tc>
              <w:tc>
                <w:tcPr>
                  <w:tcW w:w="1122" w:type="dxa"/>
                  <w:vAlign w:val="center"/>
                </w:tcPr>
                <w:p w14:paraId="7989AC15" w14:textId="77777777" w:rsidR="00790301" w:rsidRPr="00560E66" w:rsidRDefault="00790301" w:rsidP="00790301">
                  <w:pPr>
                    <w:jc w:val="center"/>
                    <w:rPr>
                      <w:i/>
                      <w:color w:val="FF0000"/>
                      <w:sz w:val="18"/>
                    </w:rPr>
                  </w:pPr>
                  <w:r w:rsidRPr="00560E66">
                    <w:rPr>
                      <w:i/>
                      <w:color w:val="FF0000"/>
                      <w:sz w:val="18"/>
                    </w:rPr>
                    <w:t>81</w:t>
                  </w:r>
                </w:p>
              </w:tc>
              <w:tc>
                <w:tcPr>
                  <w:tcW w:w="1122" w:type="dxa"/>
                  <w:vAlign w:val="center"/>
                </w:tcPr>
                <w:p w14:paraId="319B8B0E" w14:textId="77777777" w:rsidR="00790301" w:rsidRPr="00560E66" w:rsidRDefault="00790301" w:rsidP="00790301">
                  <w:pPr>
                    <w:jc w:val="center"/>
                    <w:rPr>
                      <w:i/>
                      <w:color w:val="FF0000"/>
                      <w:sz w:val="18"/>
                    </w:rPr>
                  </w:pPr>
                  <w:r w:rsidRPr="00560E66">
                    <w:rPr>
                      <w:i/>
                      <w:color w:val="FF0000"/>
                      <w:sz w:val="18"/>
                    </w:rPr>
                    <w:t>82</w:t>
                  </w:r>
                </w:p>
              </w:tc>
              <w:tc>
                <w:tcPr>
                  <w:tcW w:w="1122" w:type="dxa"/>
                  <w:shd w:val="clear" w:color="auto" w:fill="D9D9D9" w:themeFill="background1" w:themeFillShade="D9"/>
                  <w:vAlign w:val="center"/>
                </w:tcPr>
                <w:p w14:paraId="37326171" w14:textId="77777777" w:rsidR="00790301" w:rsidRPr="00560E66" w:rsidRDefault="00790301" w:rsidP="00790301">
                  <w:pPr>
                    <w:jc w:val="center"/>
                    <w:rPr>
                      <w:i/>
                      <w:color w:val="auto"/>
                      <w:sz w:val="18"/>
                    </w:rPr>
                  </w:pPr>
                </w:p>
              </w:tc>
              <w:tc>
                <w:tcPr>
                  <w:tcW w:w="1122" w:type="dxa"/>
                  <w:shd w:val="clear" w:color="auto" w:fill="D9D9D9" w:themeFill="background1" w:themeFillShade="D9"/>
                  <w:vAlign w:val="center"/>
                </w:tcPr>
                <w:p w14:paraId="22D0FF39" w14:textId="77777777" w:rsidR="00790301" w:rsidRPr="00560E66" w:rsidRDefault="00790301" w:rsidP="00790301">
                  <w:pPr>
                    <w:jc w:val="center"/>
                    <w:rPr>
                      <w:i/>
                      <w:color w:val="auto"/>
                      <w:sz w:val="18"/>
                    </w:rPr>
                  </w:pPr>
                </w:p>
              </w:tc>
            </w:tr>
            <w:tr w:rsidR="00790301" w:rsidRPr="00560E66" w14:paraId="6290EFF5" w14:textId="77777777" w:rsidTr="00790301">
              <w:trPr>
                <w:cantSplit/>
                <w:trHeight w:val="274"/>
              </w:trPr>
              <w:tc>
                <w:tcPr>
                  <w:tcW w:w="1479" w:type="dxa"/>
                  <w:vAlign w:val="center"/>
                </w:tcPr>
                <w:p w14:paraId="7FECB09E" w14:textId="77777777" w:rsidR="00790301" w:rsidRPr="00560E66" w:rsidRDefault="00790301" w:rsidP="00790301">
                  <w:pPr>
                    <w:jc w:val="center"/>
                    <w:rPr>
                      <w:color w:val="auto"/>
                    </w:rPr>
                  </w:pPr>
                  <w:r w:rsidRPr="00560E66">
                    <w:rPr>
                      <w:color w:val="auto"/>
                    </w:rPr>
                    <w:t>EYFS</w:t>
                  </w:r>
                </w:p>
              </w:tc>
              <w:tc>
                <w:tcPr>
                  <w:tcW w:w="1994" w:type="dxa"/>
                  <w:gridSpan w:val="2"/>
                  <w:vAlign w:val="center"/>
                </w:tcPr>
                <w:p w14:paraId="36409702" w14:textId="77777777" w:rsidR="00790301" w:rsidRPr="00560E66" w:rsidRDefault="00790301" w:rsidP="00790301">
                  <w:pPr>
                    <w:ind w:left="113" w:right="113"/>
                    <w:jc w:val="center"/>
                    <w:rPr>
                      <w:color w:val="auto"/>
                      <w:sz w:val="16"/>
                    </w:rPr>
                  </w:pPr>
                  <w:r w:rsidRPr="00560E66">
                    <w:rPr>
                      <w:color w:val="auto"/>
                    </w:rPr>
                    <w:t>Good Level of Development</w:t>
                  </w:r>
                </w:p>
              </w:tc>
              <w:tc>
                <w:tcPr>
                  <w:tcW w:w="1122" w:type="dxa"/>
                  <w:vAlign w:val="center"/>
                </w:tcPr>
                <w:p w14:paraId="66EDFA12" w14:textId="77777777" w:rsidR="00790301" w:rsidRPr="00560E66" w:rsidRDefault="00790301" w:rsidP="00790301">
                  <w:pPr>
                    <w:jc w:val="center"/>
                    <w:rPr>
                      <w:color w:val="auto"/>
                    </w:rPr>
                  </w:pPr>
                  <w:r w:rsidRPr="00560E66">
                    <w:rPr>
                      <w:color w:val="auto"/>
                    </w:rPr>
                    <w:t>82</w:t>
                  </w:r>
                </w:p>
              </w:tc>
              <w:tc>
                <w:tcPr>
                  <w:tcW w:w="1122" w:type="dxa"/>
                  <w:vAlign w:val="center"/>
                </w:tcPr>
                <w:p w14:paraId="529F7648" w14:textId="77777777" w:rsidR="00790301" w:rsidRPr="00560E66" w:rsidRDefault="00790301" w:rsidP="00790301">
                  <w:pPr>
                    <w:jc w:val="center"/>
                    <w:rPr>
                      <w:color w:val="auto"/>
                    </w:rPr>
                  </w:pPr>
                  <w:r w:rsidRPr="00560E66">
                    <w:rPr>
                      <w:color w:val="auto"/>
                    </w:rPr>
                    <w:t>83</w:t>
                  </w:r>
                </w:p>
              </w:tc>
              <w:tc>
                <w:tcPr>
                  <w:tcW w:w="1122" w:type="dxa"/>
                  <w:vAlign w:val="center"/>
                </w:tcPr>
                <w:p w14:paraId="4A8977A8" w14:textId="77777777" w:rsidR="00790301" w:rsidRPr="00560E66" w:rsidRDefault="00790301" w:rsidP="00790301">
                  <w:pPr>
                    <w:jc w:val="center"/>
                    <w:rPr>
                      <w:color w:val="auto"/>
                    </w:rPr>
                  </w:pPr>
                  <w:r w:rsidRPr="00560E66">
                    <w:rPr>
                      <w:color w:val="auto"/>
                    </w:rPr>
                    <w:t>80</w:t>
                  </w:r>
                </w:p>
              </w:tc>
              <w:tc>
                <w:tcPr>
                  <w:tcW w:w="1122" w:type="dxa"/>
                  <w:vAlign w:val="center"/>
                </w:tcPr>
                <w:p w14:paraId="16C03729" w14:textId="77777777" w:rsidR="00790301" w:rsidRPr="00560E66" w:rsidRDefault="00790301" w:rsidP="00790301">
                  <w:pPr>
                    <w:jc w:val="center"/>
                    <w:rPr>
                      <w:color w:val="auto"/>
                    </w:rPr>
                  </w:pPr>
                  <w:r w:rsidRPr="00560E66">
                    <w:rPr>
                      <w:color w:val="auto"/>
                    </w:rPr>
                    <w:t>81</w:t>
                  </w:r>
                </w:p>
              </w:tc>
              <w:tc>
                <w:tcPr>
                  <w:tcW w:w="1122" w:type="dxa"/>
                  <w:vAlign w:val="center"/>
                </w:tcPr>
                <w:p w14:paraId="6710CC2D" w14:textId="77777777" w:rsidR="00790301" w:rsidRPr="00560E66" w:rsidRDefault="00790301" w:rsidP="00790301">
                  <w:pPr>
                    <w:jc w:val="center"/>
                    <w:rPr>
                      <w:color w:val="auto"/>
                    </w:rPr>
                  </w:pPr>
                  <w:r w:rsidRPr="00560E66">
                    <w:rPr>
                      <w:color w:val="auto"/>
                    </w:rPr>
                    <w:t>80</w:t>
                  </w:r>
                </w:p>
              </w:tc>
              <w:tc>
                <w:tcPr>
                  <w:tcW w:w="1122" w:type="dxa"/>
                  <w:vAlign w:val="center"/>
                </w:tcPr>
                <w:p w14:paraId="0A75C19A" w14:textId="77777777" w:rsidR="00790301" w:rsidRPr="00560E66" w:rsidRDefault="00790301" w:rsidP="00790301">
                  <w:pPr>
                    <w:jc w:val="center"/>
                    <w:rPr>
                      <w:color w:val="auto"/>
                    </w:rPr>
                  </w:pPr>
                  <w:r w:rsidRPr="00560E66">
                    <w:rPr>
                      <w:color w:val="auto"/>
                    </w:rPr>
                    <w:t>61</w:t>
                  </w:r>
                </w:p>
              </w:tc>
            </w:tr>
          </w:tbl>
          <w:p w14:paraId="1829AE36" w14:textId="77777777" w:rsidR="0035467D" w:rsidRDefault="0035467D">
            <w:pPr>
              <w:spacing w:before="120"/>
              <w:rPr>
                <w:i/>
              </w:rPr>
            </w:pPr>
          </w:p>
          <w:p w14:paraId="19BBB2B3" w14:textId="77777777" w:rsidR="0035467D" w:rsidRDefault="0035467D">
            <w:pPr>
              <w:spacing w:before="120"/>
              <w:rPr>
                <w:i/>
              </w:rPr>
            </w:pPr>
          </w:p>
          <w:p w14:paraId="6FC32182" w14:textId="77777777" w:rsidR="0035467D" w:rsidRDefault="0035467D">
            <w:pPr>
              <w:spacing w:before="120"/>
              <w:rPr>
                <w:i/>
              </w:rPr>
            </w:pPr>
          </w:p>
          <w:p w14:paraId="366D6954" w14:textId="77777777" w:rsidR="0035467D" w:rsidRDefault="0035467D">
            <w:pPr>
              <w:spacing w:before="120"/>
              <w:rPr>
                <w:i/>
              </w:rPr>
            </w:pPr>
          </w:p>
          <w:p w14:paraId="2A7D5545" w14:textId="3DA708E0" w:rsidR="00790301" w:rsidRDefault="009D71E8" w:rsidP="00790301">
            <w:pPr>
              <w:spacing w:before="120"/>
            </w:pPr>
            <w:r>
              <w:rPr>
                <w:i/>
              </w:rPr>
              <w:t xml:space="preserve"> </w:t>
            </w:r>
          </w:p>
          <w:p w14:paraId="2A7D5546" w14:textId="3FBEDA7D" w:rsidR="00E66558" w:rsidRDefault="00E66558"/>
        </w:tc>
      </w:tr>
      <w:bookmarkEnd w:id="15"/>
      <w:bookmarkEnd w:id="16"/>
      <w:bookmarkEnd w:id="17"/>
    </w:tbl>
    <w:p w14:paraId="1FFA9854" w14:textId="6BB2994B" w:rsidR="009012F2" w:rsidRDefault="009012F2"/>
    <w:p w14:paraId="3DAFB6BA" w14:textId="77777777" w:rsidR="009012F2" w:rsidRDefault="009012F2"/>
    <w:sectPr w:rsidR="009012F2">
      <w:headerReference w:type="default" r:id="rId43"/>
      <w:footerReference w:type="default" r:id="rId4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A571" w14:textId="77777777" w:rsidR="00B93625" w:rsidRDefault="00B93625">
      <w:pPr>
        <w:spacing w:after="0" w:line="240" w:lineRule="auto"/>
      </w:pPr>
      <w:r>
        <w:separator/>
      </w:r>
    </w:p>
  </w:endnote>
  <w:endnote w:type="continuationSeparator" w:id="0">
    <w:p w14:paraId="6DA3E8D9" w14:textId="77777777" w:rsidR="00B93625" w:rsidRDefault="00B9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790301" w:rsidRDefault="00790301">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A203" w14:textId="77777777" w:rsidR="00B93625" w:rsidRDefault="00B93625">
      <w:pPr>
        <w:spacing w:after="0" w:line="240" w:lineRule="auto"/>
      </w:pPr>
      <w:r>
        <w:separator/>
      </w:r>
    </w:p>
  </w:footnote>
  <w:footnote w:type="continuationSeparator" w:id="0">
    <w:p w14:paraId="08855287" w14:textId="77777777" w:rsidR="00B93625" w:rsidRDefault="00B9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790301" w:rsidRDefault="00790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9DD"/>
    <w:multiLevelType w:val="multilevel"/>
    <w:tmpl w:val="C65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B23151"/>
    <w:multiLevelType w:val="hybridMultilevel"/>
    <w:tmpl w:val="DA64A60A"/>
    <w:lvl w:ilvl="0" w:tplc="3D24DE0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9A84BD2"/>
    <w:multiLevelType w:val="multilevel"/>
    <w:tmpl w:val="F7A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5037EC3"/>
    <w:multiLevelType w:val="hybridMultilevel"/>
    <w:tmpl w:val="98D46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A1EB9"/>
    <w:multiLevelType w:val="hybridMultilevel"/>
    <w:tmpl w:val="4C46698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1" w15:restartNumberingAfterBreak="0">
    <w:nsid w:val="3D7458BB"/>
    <w:multiLevelType w:val="hybridMultilevel"/>
    <w:tmpl w:val="7F3ED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402CC0"/>
    <w:multiLevelType w:val="hybridMultilevel"/>
    <w:tmpl w:val="CE30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31105"/>
    <w:multiLevelType w:val="multilevel"/>
    <w:tmpl w:val="7D4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3000AB"/>
    <w:multiLevelType w:val="hybridMultilevel"/>
    <w:tmpl w:val="C554B86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8"/>
  </w:num>
  <w:num w:numId="5">
    <w:abstractNumId w:val="1"/>
  </w:num>
  <w:num w:numId="6">
    <w:abstractNumId w:val="12"/>
  </w:num>
  <w:num w:numId="7">
    <w:abstractNumId w:val="17"/>
  </w:num>
  <w:num w:numId="8">
    <w:abstractNumId w:val="21"/>
  </w:num>
  <w:num w:numId="9">
    <w:abstractNumId w:val="19"/>
  </w:num>
  <w:num w:numId="10">
    <w:abstractNumId w:val="18"/>
  </w:num>
  <w:num w:numId="11">
    <w:abstractNumId w:val="3"/>
  </w:num>
  <w:num w:numId="12">
    <w:abstractNumId w:val="20"/>
  </w:num>
  <w:num w:numId="13">
    <w:abstractNumId w:val="16"/>
  </w:num>
  <w:num w:numId="14">
    <w:abstractNumId w:val="15"/>
  </w:num>
  <w:num w:numId="15">
    <w:abstractNumId w:val="10"/>
  </w:num>
  <w:num w:numId="16">
    <w:abstractNumId w:val="13"/>
  </w:num>
  <w:num w:numId="17">
    <w:abstractNumId w:val="14"/>
  </w:num>
  <w:num w:numId="18">
    <w:abstractNumId w:val="0"/>
  </w:num>
  <w:num w:numId="19">
    <w:abstractNumId w:val="7"/>
  </w:num>
  <w:num w:numId="20">
    <w:abstractNumId w:val="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B49"/>
    <w:rsid w:val="000239D4"/>
    <w:rsid w:val="00024AE5"/>
    <w:rsid w:val="000253E6"/>
    <w:rsid w:val="0005345E"/>
    <w:rsid w:val="00066B73"/>
    <w:rsid w:val="000C55E1"/>
    <w:rsid w:val="00120AB1"/>
    <w:rsid w:val="00120C2E"/>
    <w:rsid w:val="001265D4"/>
    <w:rsid w:val="00174863"/>
    <w:rsid w:val="001A39C2"/>
    <w:rsid w:val="001C1E34"/>
    <w:rsid w:val="00211373"/>
    <w:rsid w:val="00216DB9"/>
    <w:rsid w:val="00242AFA"/>
    <w:rsid w:val="002B1148"/>
    <w:rsid w:val="002D4665"/>
    <w:rsid w:val="003443DE"/>
    <w:rsid w:val="0035467D"/>
    <w:rsid w:val="003601EB"/>
    <w:rsid w:val="003F570D"/>
    <w:rsid w:val="004044AA"/>
    <w:rsid w:val="004256D5"/>
    <w:rsid w:val="00471D01"/>
    <w:rsid w:val="004A1689"/>
    <w:rsid w:val="004C753F"/>
    <w:rsid w:val="00517F6B"/>
    <w:rsid w:val="005245B6"/>
    <w:rsid w:val="00561459"/>
    <w:rsid w:val="005725A3"/>
    <w:rsid w:val="005A785F"/>
    <w:rsid w:val="00612B21"/>
    <w:rsid w:val="006349AE"/>
    <w:rsid w:val="00672202"/>
    <w:rsid w:val="006A2D3A"/>
    <w:rsid w:val="006B55BC"/>
    <w:rsid w:val="006B5C66"/>
    <w:rsid w:val="006C0646"/>
    <w:rsid w:val="006E5785"/>
    <w:rsid w:val="006E7FB1"/>
    <w:rsid w:val="006F3E37"/>
    <w:rsid w:val="007357AE"/>
    <w:rsid w:val="00741B9E"/>
    <w:rsid w:val="007636DE"/>
    <w:rsid w:val="00764B77"/>
    <w:rsid w:val="00790301"/>
    <w:rsid w:val="007B0C0A"/>
    <w:rsid w:val="007C2F04"/>
    <w:rsid w:val="009012F2"/>
    <w:rsid w:val="00905FA1"/>
    <w:rsid w:val="009324AD"/>
    <w:rsid w:val="00943403"/>
    <w:rsid w:val="009D71E8"/>
    <w:rsid w:val="009F5217"/>
    <w:rsid w:val="00A26AED"/>
    <w:rsid w:val="00A3148A"/>
    <w:rsid w:val="00AA2673"/>
    <w:rsid w:val="00AA4201"/>
    <w:rsid w:val="00AD4FA8"/>
    <w:rsid w:val="00B93625"/>
    <w:rsid w:val="00BA4033"/>
    <w:rsid w:val="00C0653B"/>
    <w:rsid w:val="00CB4829"/>
    <w:rsid w:val="00CD6BB7"/>
    <w:rsid w:val="00CF220B"/>
    <w:rsid w:val="00D05C14"/>
    <w:rsid w:val="00D33FE5"/>
    <w:rsid w:val="00D443F5"/>
    <w:rsid w:val="00D95D98"/>
    <w:rsid w:val="00DF0685"/>
    <w:rsid w:val="00E328D3"/>
    <w:rsid w:val="00E35031"/>
    <w:rsid w:val="00E66558"/>
    <w:rsid w:val="00E90A30"/>
    <w:rsid w:val="00ED2322"/>
    <w:rsid w:val="00EF7015"/>
    <w:rsid w:val="00F034DC"/>
    <w:rsid w:val="00F07A2D"/>
    <w:rsid w:val="00F541E3"/>
    <w:rsid w:val="00F617F5"/>
    <w:rsid w:val="00FC0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7357AE"/>
    <w:rPr>
      <w:color w:val="0D0D0D"/>
      <w:sz w:val="24"/>
      <w:szCs w:val="24"/>
    </w:rPr>
  </w:style>
  <w:style w:type="paragraph" w:styleId="NormalWeb">
    <w:name w:val="Normal (Web)"/>
    <w:basedOn w:val="Normal"/>
    <w:uiPriority w:val="99"/>
    <w:semiHidden/>
    <w:unhideWhenUsed/>
    <w:rsid w:val="006C0646"/>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790301"/>
    <w:pPr>
      <w:autoSpaceDN/>
      <w:ind w:left="340" w:hanging="340"/>
    </w:pPr>
    <w:rPr>
      <w:rFonts w:asciiTheme="minorHAnsi" w:eastAsiaTheme="minorHAnsi" w:hAnsiTheme="minorHAnsi" w:cstheme="minorBidi"/>
      <w:color w:val="595959" w:themeColor="text1" w:themeTint="A6"/>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rsid w:val="003601EB"/>
    <w:pPr>
      <w:suppressAutoHyphens w:val="0"/>
      <w:autoSpaceDN/>
      <w:spacing w:before="60" w:after="60" w:line="240" w:lineRule="auto"/>
      <w:contextualSpacing/>
    </w:pPr>
    <w:rPr>
      <w:rFonts w:ascii="Tahoma" w:hAnsi="Tahoma"/>
      <w:color w:val="000000"/>
      <w:sz w:val="22"/>
      <w:lang w:eastAsia="en-US"/>
    </w:rPr>
  </w:style>
  <w:style w:type="paragraph" w:customStyle="1" w:styleId="Tableheader-top">
    <w:name w:val="Table header - top"/>
    <w:basedOn w:val="Normal"/>
    <w:rsid w:val="003601EB"/>
    <w:pPr>
      <w:suppressAutoHyphens w:val="0"/>
      <w:autoSpaceDN/>
      <w:spacing w:before="60" w:after="60" w:line="240" w:lineRule="auto"/>
      <w:contextualSpacing/>
      <w:jc w:val="center"/>
    </w:pPr>
    <w:rPr>
      <w:rFonts w:ascii="Tahoma" w:hAnsi="Tahoma"/>
      <w:b/>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9362">
      <w:bodyDiv w:val="1"/>
      <w:marLeft w:val="0"/>
      <w:marRight w:val="0"/>
      <w:marTop w:val="0"/>
      <w:marBottom w:val="0"/>
      <w:divBdr>
        <w:top w:val="none" w:sz="0" w:space="0" w:color="auto"/>
        <w:left w:val="none" w:sz="0" w:space="0" w:color="auto"/>
        <w:bottom w:val="none" w:sz="0" w:space="0" w:color="auto"/>
        <w:right w:val="none" w:sz="0" w:space="0" w:color="auto"/>
      </w:divBdr>
    </w:div>
    <w:div w:id="188613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Annual_Reports/EEF_Key_lessons_learned.pdf" TargetMode="External"/><Relationship Id="rId18" Type="http://schemas.openxmlformats.org/officeDocument/2006/relationships/hyperlink" Target="https://educationendowmentfoundation.org.uk/public/files/Annual_Reports/EEF_Key_lessons_learned.pdf" TargetMode="External"/><Relationship Id="rId26" Type="http://schemas.openxmlformats.org/officeDocument/2006/relationships/hyperlink" Target="https://dro.dur.ac.uk/26952/1/26952.pdf?DDD29+vrfd57+d700tmt" TargetMode="External"/><Relationship Id="rId39" Type="http://schemas.openxmlformats.org/officeDocument/2006/relationships/hyperlink" Target="https://www.gov.uk/government/statistics/permanent-exclusions-and-suspensions-in-england-2019-to-2020" TargetMode="External"/><Relationship Id="rId21" Type="http://schemas.openxmlformats.org/officeDocument/2006/relationships/hyperlink" Target="https://maximisingtas.co.uk/impact.php" TargetMode="External"/><Relationship Id="rId34" Type="http://schemas.openxmlformats.org/officeDocument/2006/relationships/hyperlink" Target="https://literacytrust.org.uk/research-services/research-reports/literacy-changes-lives-2008-advocacy-resource/" TargetMode="External"/><Relationship Id="rId42" Type="http://schemas.openxmlformats.org/officeDocument/2006/relationships/hyperlink" Target="https://assets.publishing.service.gov.uk/government/uploads/system/uploads/attachment_data/file/800028/Timpson_review_of_school_exclusion_literature_review.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endowmentfoundation.org.uk/public/files/Publications/Covid-19_Resources/The_EEF_guide_to_supporting_school_planning_-_A_tiered_approach_to_2021.pdf" TargetMode="External"/><Relationship Id="rId29" Type="http://schemas.openxmlformats.org/officeDocument/2006/relationships/hyperlink" Target="https://educationendowmentfoundation.org.uk/education-evidence/teaching-learning-toolkit/small-group-tu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neli.org/" TargetMode="External"/><Relationship Id="rId24" Type="http://schemas.openxmlformats.org/officeDocument/2006/relationships/hyperlink" Target="https://educationendowmentfoundation.org.uk/public/files/Publications/Covid-19_Resources/The_EEF_guide_to_supporting_school_planning_-_A_tiered_approach_to_2021.pdf" TargetMode="External"/><Relationship Id="rId32" Type="http://schemas.openxmlformats.org/officeDocument/2006/relationships/hyperlink" Target="https://dera.ioe.ac.uk/5551/2/report.pdf" TargetMode="External"/><Relationship Id="rId37" Type="http://schemas.openxmlformats.org/officeDocument/2006/relationships/hyperlink" Target="http://ijonte.org/FileUpload/ks63207/File/19..gunuc.pdf" TargetMode="External"/><Relationship Id="rId40" Type="http://schemas.openxmlformats.org/officeDocument/2006/relationships/hyperlink" Target="https://www.gov.uk/education/school-attendance-and-absen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news/ofsted-publishes-research-review-on-mathematics-education" TargetMode="External"/><Relationship Id="rId23" Type="http://schemas.openxmlformats.org/officeDocument/2006/relationships/hyperlink" Target="https://educationendowmentfoundation.org.uk/public/files/Annual_Reports/EEF_Key_lessons_learned.pdf" TargetMode="External"/><Relationship Id="rId28" Type="http://schemas.openxmlformats.org/officeDocument/2006/relationships/hyperlink" Target="https://educationendowmentfoundation.org.uk/education-evidence/teaching-learning-toolkit/one-to-one-tuition" TargetMode="External"/><Relationship Id="rId36" Type="http://schemas.openxmlformats.org/officeDocument/2006/relationships/hyperlink" Target="https://www.gov.uk/government/publications/pupil-premium/pupil-premium" TargetMode="External"/><Relationship Id="rId10" Type="http://schemas.openxmlformats.org/officeDocument/2006/relationships/hyperlink" Target="https://educationendowmentfoundation.org.uk/public/files/Publications/Covid-19_Resources/The_EEF_guide_to_supporting_school_planning_-_A_tiered_approach_to_2021.pdf" TargetMode="External"/><Relationship Id="rId19" Type="http://schemas.openxmlformats.org/officeDocument/2006/relationships/hyperlink" Target="https://educationendowmentfoundation.org.uk/public/files/Publications/Covid-19_Resources/The_EEF_guide_to_supporting_school_planning_-_A_tiered_approach_to_2021.pdf" TargetMode="External"/><Relationship Id="rId31" Type="http://schemas.openxmlformats.org/officeDocument/2006/relationships/hyperlink" Target="https://assets.publishing.service.gov.uk/government/uploads/system/uploads/attachment_data/file/1000914/Reading_framework_Teaching_the_foundations_of_literacy_-_Section_3.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public/files/Annual_Reports/EEF_Key_lessons_learned.pdf"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teaching-learning-toolkit" TargetMode="External"/><Relationship Id="rId30" Type="http://schemas.openxmlformats.org/officeDocument/2006/relationships/hyperlink" Target="https://literacytrust.org.uk/research-services/research-reports/literacy-and-life-expectancy/" TargetMode="External"/><Relationship Id="rId35" Type="http://schemas.openxmlformats.org/officeDocument/2006/relationships/hyperlink" Target="https://educationendowmentfoundation.org.uk/public/files/Publications/Covid-19_Resources/The_EEF_guide_to_supporting_school_planning_-_A_tiered_approach_to_2021.pdf"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ducationendowmentfoundation.org.uk/news/15-key-lessons-learned-in-the-eefs-first-six-years" TargetMode="External"/><Relationship Id="rId17" Type="http://schemas.openxmlformats.org/officeDocument/2006/relationships/hyperlink" Target="https://dera.ioe.ac.uk/5551/2/report.pdf" TargetMode="External"/><Relationship Id="rId25" Type="http://schemas.openxmlformats.org/officeDocument/2006/relationships/hyperlink" Target="https://educationendowmentfoundation.org.uk/public/files/Annual_Reports/EEF_Key_lessons_learned.pdf" TargetMode="External"/><Relationship Id="rId33" Type="http://schemas.openxmlformats.org/officeDocument/2006/relationships/hyperlink" Target="https://educationendowmentfoundation.org.uk/public/files/Annual_Reports/EEF_Key_lessons_learned.pdf" TargetMode="External"/><Relationship Id="rId38" Type="http://schemas.openxmlformats.org/officeDocument/2006/relationships/hyperlink" Target="https://assets.publishing.service.gov.uk/government/uploads/system/uploads/attachment_data/file/1021914/KCSIE_2021_September_guidance.pdf" TargetMode="External"/><Relationship Id="rId46" Type="http://schemas.openxmlformats.org/officeDocument/2006/relationships/theme" Target="theme/theme1.xml"/><Relationship Id="rId20" Type="http://schemas.openxmlformats.org/officeDocument/2006/relationships/hyperlink" Target="https://educationendowmentfoundation.org.uk/public/files/Annual_Reports/EEF_Key_lessons_learned.pdf" TargetMode="External"/><Relationship Id="rId41" Type="http://schemas.openxmlformats.org/officeDocument/2006/relationships/hyperlink" Target="https://assets.publishing.service.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C77F-4977-4E74-BCF9-136598A8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6209</Words>
  <Characters>35393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SSeabrook@RGNP.RushGreenPrimary.org.uk</cp:lastModifiedBy>
  <cp:revision>2</cp:revision>
  <cp:lastPrinted>2014-09-17T13:26:00Z</cp:lastPrinted>
  <dcterms:created xsi:type="dcterms:W3CDTF">2022-01-12T10:20:00Z</dcterms:created>
  <dcterms:modified xsi:type="dcterms:W3CDTF">2022-01-12T10:20:00Z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